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5C2E36" w14:textId="77777777" w:rsidR="00D615C2" w:rsidRPr="00EE2910" w:rsidRDefault="00D615C2" w:rsidP="00D615C2">
      <w:pPr>
        <w:shd w:val="clear" w:color="auto" w:fill="FFFFFF"/>
        <w:spacing w:line="276" w:lineRule="auto"/>
        <w:jc w:val="center"/>
        <w:textAlignment w:val="top"/>
        <w:rPr>
          <w:rFonts w:eastAsia="Times New Roman" w:cstheme="minorHAnsi"/>
          <w:sz w:val="20"/>
          <w:szCs w:val="20"/>
          <w:lang w:eastAsia="cs-CZ"/>
        </w:rPr>
      </w:pPr>
      <w:r w:rsidRPr="00EE2910">
        <w:rPr>
          <w:rFonts w:cstheme="minorHAnsi"/>
          <w:sz w:val="48"/>
          <w:szCs w:val="28"/>
        </w:rPr>
        <w:t>TECHNICKÁ DOKUMENTACE</w:t>
      </w:r>
      <w:r w:rsidRPr="00EE2910">
        <w:rPr>
          <w:rFonts w:cstheme="minorHAnsi"/>
          <w:sz w:val="48"/>
          <w:szCs w:val="28"/>
        </w:rPr>
        <w:tab/>
      </w:r>
    </w:p>
    <w:p w14:paraId="4E65B1F2" w14:textId="77777777" w:rsidR="00D615C2" w:rsidRPr="00EE2910" w:rsidRDefault="00D615C2" w:rsidP="00D615C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sz w:val="20"/>
          <w:szCs w:val="20"/>
          <w:lang w:eastAsia="cs-CZ"/>
        </w:rPr>
      </w:pPr>
    </w:p>
    <w:p w14:paraId="2E687312" w14:textId="77777777" w:rsidR="00D615C2" w:rsidRPr="00EE2910" w:rsidRDefault="00D615C2" w:rsidP="00D615C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sz w:val="20"/>
          <w:szCs w:val="20"/>
          <w:lang w:eastAsia="cs-CZ"/>
        </w:rPr>
      </w:pPr>
    </w:p>
    <w:p w14:paraId="7813516D" w14:textId="3BA365E8" w:rsidR="00D615C2" w:rsidRPr="00EE2910" w:rsidRDefault="00D615C2" w:rsidP="00D615C2">
      <w:pPr>
        <w:pBdr>
          <w:top w:val="single" w:sz="4" w:space="9" w:color="auto"/>
          <w:left w:val="single" w:sz="4" w:space="4" w:color="auto"/>
          <w:bottom w:val="single" w:sz="4" w:space="1" w:color="auto"/>
          <w:right w:val="single" w:sz="4" w:space="4" w:color="auto"/>
        </w:pBdr>
        <w:shd w:val="clear" w:color="auto" w:fill="F2F2F2" w:themeFill="background1" w:themeFillShade="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Lines="60" w:after="144" w:line="360" w:lineRule="auto"/>
        <w:jc w:val="center"/>
        <w:rPr>
          <w:rFonts w:eastAsia="Times New Roman" w:cstheme="minorHAnsi"/>
          <w:b/>
          <w:sz w:val="24"/>
          <w:szCs w:val="20"/>
          <w:lang w:eastAsia="cs-CZ"/>
        </w:rPr>
      </w:pPr>
      <w:r w:rsidRPr="00EE2910">
        <w:rPr>
          <w:rFonts w:eastAsia="Times New Roman" w:cstheme="minorHAnsi"/>
          <w:b/>
          <w:sz w:val="28"/>
          <w:szCs w:val="20"/>
          <w:lang w:eastAsia="cs-CZ"/>
        </w:rPr>
        <w:t>„</w:t>
      </w:r>
      <w:r w:rsidRPr="00D615C2">
        <w:rPr>
          <w:rFonts w:eastAsia="Times New Roman" w:cstheme="minorHAnsi"/>
          <w:b/>
          <w:lang w:eastAsia="cs-CZ"/>
        </w:rPr>
        <w:t>Modernizace VO ve městě Nové Sedlo – 2. Etapa</w:t>
      </w:r>
      <w:r>
        <w:rPr>
          <w:rFonts w:eastAsia="Times New Roman" w:cstheme="minorHAnsi"/>
          <w:b/>
          <w:lang w:eastAsia="cs-CZ"/>
        </w:rPr>
        <w:t>“</w:t>
      </w:r>
    </w:p>
    <w:p w14:paraId="1827C546" w14:textId="77777777" w:rsidR="00D615C2" w:rsidRPr="00EE2910" w:rsidRDefault="00D615C2" w:rsidP="00D61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Lines="60" w:after="144" w:line="240" w:lineRule="auto"/>
        <w:jc w:val="center"/>
        <w:rPr>
          <w:rFonts w:eastAsia="Times New Roman" w:cstheme="minorHAnsi"/>
          <w:sz w:val="20"/>
          <w:szCs w:val="20"/>
          <w:lang w:eastAsia="cs-CZ"/>
        </w:rPr>
      </w:pPr>
    </w:p>
    <w:p w14:paraId="48C7DFE0" w14:textId="77777777" w:rsidR="00D615C2" w:rsidRPr="00EE2910" w:rsidRDefault="00D615C2" w:rsidP="00D61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Lines="60" w:after="144" w:line="240" w:lineRule="auto"/>
        <w:jc w:val="center"/>
        <w:rPr>
          <w:rFonts w:eastAsia="Times New Roman" w:cstheme="minorHAnsi"/>
          <w:sz w:val="20"/>
          <w:szCs w:val="20"/>
          <w:lang w:eastAsia="cs-CZ"/>
        </w:rPr>
      </w:pPr>
    </w:p>
    <w:p w14:paraId="36E47F39" w14:textId="77777777" w:rsidR="00D615C2" w:rsidRPr="00EE2910" w:rsidRDefault="00D615C2" w:rsidP="00D61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Lines="60" w:after="144" w:line="240" w:lineRule="auto"/>
        <w:jc w:val="center"/>
        <w:rPr>
          <w:rFonts w:eastAsia="Times New Roman" w:cstheme="minorHAnsi"/>
          <w:sz w:val="20"/>
          <w:szCs w:val="20"/>
          <w:lang w:eastAsia="cs-CZ"/>
        </w:rPr>
      </w:pPr>
    </w:p>
    <w:p w14:paraId="76F1884B" w14:textId="77777777" w:rsidR="00D615C2" w:rsidRPr="00EE2910" w:rsidRDefault="00D615C2" w:rsidP="00D615C2">
      <w:pPr>
        <w:pStyle w:val="Odstavecstyl"/>
        <w:rPr>
          <w:rFonts w:asciiTheme="minorHAnsi" w:hAnsiTheme="minorHAnsi" w:cstheme="minorHAnsi"/>
        </w:rPr>
      </w:pPr>
    </w:p>
    <w:p w14:paraId="2B06963D" w14:textId="77777777" w:rsidR="00D615C2" w:rsidRPr="00EE2910" w:rsidRDefault="00D615C2" w:rsidP="00D615C2">
      <w:pPr>
        <w:pStyle w:val="Odstavecstyl"/>
        <w:rPr>
          <w:rFonts w:asciiTheme="minorHAnsi" w:hAnsiTheme="minorHAnsi" w:cstheme="minorHAnsi"/>
        </w:rPr>
      </w:pPr>
    </w:p>
    <w:p w14:paraId="36BE78B4" w14:textId="77777777" w:rsidR="00D615C2" w:rsidRPr="00EE2910" w:rsidRDefault="00D615C2" w:rsidP="00D615C2">
      <w:pPr>
        <w:pStyle w:val="Odstavecstyl"/>
        <w:rPr>
          <w:rFonts w:asciiTheme="minorHAnsi" w:hAnsiTheme="minorHAnsi" w:cstheme="minorHAnsi"/>
        </w:rPr>
      </w:pPr>
      <w:r w:rsidRPr="00EE2910">
        <w:rPr>
          <w:rFonts w:asciiTheme="minorHAnsi" w:hAnsiTheme="minorHAnsi" w:cstheme="minorHAnsi"/>
        </w:rPr>
        <w:t>Tato příloha je nedílnou součástí Zadávací dokumentace a obsahuje požadavky zadavatele na technickou specifikaci osvětlovacích těles, parametry svítidel a dokumentaci k rozsahu zakázky.</w:t>
      </w:r>
    </w:p>
    <w:p w14:paraId="4429635D" w14:textId="77777777" w:rsidR="00D615C2" w:rsidRPr="00EE2910" w:rsidRDefault="00D615C2" w:rsidP="00D615C2">
      <w:pPr>
        <w:pStyle w:val="Odstavecstyl"/>
        <w:rPr>
          <w:rFonts w:asciiTheme="minorHAnsi" w:hAnsiTheme="minorHAnsi" w:cstheme="minorHAnsi"/>
        </w:rPr>
      </w:pPr>
    </w:p>
    <w:p w14:paraId="02D5B5B0" w14:textId="77777777" w:rsidR="00D615C2" w:rsidRPr="00EE2910" w:rsidRDefault="00D615C2" w:rsidP="00D615C2">
      <w:pPr>
        <w:pStyle w:val="Odstavecstyl"/>
        <w:rPr>
          <w:rFonts w:asciiTheme="minorHAnsi" w:hAnsiTheme="minorHAnsi" w:cstheme="minorHAnsi"/>
        </w:rPr>
      </w:pPr>
    </w:p>
    <w:p w14:paraId="5BA7DEAD" w14:textId="77777777" w:rsidR="00D615C2" w:rsidRPr="00EE2910" w:rsidRDefault="00D615C2" w:rsidP="00D615C2">
      <w:pPr>
        <w:pStyle w:val="Odstavecstyl"/>
        <w:rPr>
          <w:rFonts w:asciiTheme="minorHAnsi" w:hAnsiTheme="minorHAnsi" w:cstheme="minorHAnsi"/>
        </w:rPr>
      </w:pPr>
    </w:p>
    <w:p w14:paraId="52168677" w14:textId="77777777" w:rsidR="00D615C2" w:rsidRPr="00EE2910" w:rsidRDefault="00D615C2" w:rsidP="00D615C2">
      <w:pPr>
        <w:pStyle w:val="Odstavecstyl"/>
        <w:rPr>
          <w:rFonts w:asciiTheme="minorHAnsi" w:hAnsiTheme="minorHAnsi" w:cstheme="minorHAnsi"/>
        </w:rPr>
      </w:pPr>
    </w:p>
    <w:p w14:paraId="45315820" w14:textId="77777777" w:rsidR="00D615C2" w:rsidRPr="00EE2910" w:rsidRDefault="00D615C2" w:rsidP="00D615C2">
      <w:pPr>
        <w:pStyle w:val="Odstavecstyl"/>
        <w:rPr>
          <w:rFonts w:asciiTheme="minorHAnsi" w:hAnsiTheme="minorHAnsi" w:cstheme="minorHAnsi"/>
        </w:rPr>
      </w:pPr>
    </w:p>
    <w:p w14:paraId="110E95C0" w14:textId="77777777" w:rsidR="00D615C2" w:rsidRPr="00EE2910" w:rsidRDefault="00D615C2" w:rsidP="00D615C2">
      <w:pPr>
        <w:pStyle w:val="Odstavecstyl"/>
        <w:rPr>
          <w:rFonts w:asciiTheme="minorHAnsi" w:hAnsiTheme="minorHAnsi" w:cstheme="minorHAnsi"/>
        </w:rPr>
      </w:pPr>
    </w:p>
    <w:p w14:paraId="77939D38" w14:textId="77777777" w:rsidR="00D615C2" w:rsidRPr="00EE2910" w:rsidRDefault="00D615C2" w:rsidP="00D615C2">
      <w:pPr>
        <w:pStyle w:val="Odstavecstyl"/>
        <w:rPr>
          <w:rFonts w:asciiTheme="minorHAnsi" w:hAnsiTheme="minorHAnsi" w:cstheme="minorHAnsi"/>
        </w:rPr>
      </w:pPr>
    </w:p>
    <w:p w14:paraId="75036F91" w14:textId="77777777" w:rsidR="00D615C2" w:rsidRPr="00EE2910" w:rsidRDefault="00D615C2" w:rsidP="00D615C2">
      <w:pPr>
        <w:pStyle w:val="Odstavecstyl"/>
        <w:rPr>
          <w:rFonts w:asciiTheme="minorHAnsi" w:hAnsiTheme="minorHAnsi" w:cstheme="minorHAnsi"/>
        </w:rPr>
      </w:pPr>
    </w:p>
    <w:p w14:paraId="1FDC0231" w14:textId="77777777" w:rsidR="00D615C2" w:rsidRPr="00EE2910" w:rsidRDefault="00D615C2" w:rsidP="00D615C2">
      <w:pPr>
        <w:pStyle w:val="Odstavecstyl"/>
        <w:rPr>
          <w:rFonts w:asciiTheme="minorHAnsi" w:hAnsiTheme="minorHAnsi" w:cstheme="minorHAnsi"/>
        </w:rPr>
      </w:pPr>
    </w:p>
    <w:p w14:paraId="564CD6A9" w14:textId="77777777" w:rsidR="00D615C2" w:rsidRPr="00EE2910" w:rsidRDefault="00D615C2" w:rsidP="00D615C2">
      <w:pPr>
        <w:pStyle w:val="Odstavecstyl"/>
        <w:rPr>
          <w:rFonts w:asciiTheme="minorHAnsi" w:hAnsiTheme="minorHAnsi" w:cstheme="minorHAnsi"/>
        </w:rPr>
      </w:pPr>
    </w:p>
    <w:p w14:paraId="5CD3E876" w14:textId="77777777" w:rsidR="00D615C2" w:rsidRPr="00EE2910" w:rsidRDefault="00D615C2" w:rsidP="00D615C2">
      <w:pPr>
        <w:pStyle w:val="Odstavecstyl"/>
        <w:rPr>
          <w:rFonts w:asciiTheme="minorHAnsi" w:hAnsiTheme="minorHAnsi" w:cstheme="minorHAnsi"/>
        </w:rPr>
      </w:pPr>
    </w:p>
    <w:p w14:paraId="4889D341" w14:textId="77777777" w:rsidR="00D615C2" w:rsidRPr="00EE2910" w:rsidRDefault="00D615C2" w:rsidP="00D615C2">
      <w:pPr>
        <w:pStyle w:val="Odstavecstyl"/>
        <w:rPr>
          <w:rFonts w:asciiTheme="minorHAnsi" w:hAnsiTheme="minorHAnsi" w:cstheme="minorHAnsi"/>
        </w:rPr>
      </w:pPr>
    </w:p>
    <w:p w14:paraId="6A7A3D07" w14:textId="77777777" w:rsidR="00D615C2" w:rsidRPr="00EE2910" w:rsidRDefault="00D615C2" w:rsidP="00D615C2">
      <w:pPr>
        <w:pStyle w:val="Odstavecstyl"/>
        <w:rPr>
          <w:rFonts w:asciiTheme="minorHAnsi" w:hAnsiTheme="minorHAnsi" w:cstheme="minorHAnsi"/>
        </w:rPr>
      </w:pPr>
    </w:p>
    <w:p w14:paraId="6E841C44" w14:textId="77777777" w:rsidR="00D615C2" w:rsidRPr="00EE2910" w:rsidRDefault="00D615C2" w:rsidP="00D615C2">
      <w:pPr>
        <w:pStyle w:val="Odstavecstyl"/>
        <w:rPr>
          <w:rFonts w:asciiTheme="minorHAnsi" w:hAnsiTheme="minorHAnsi" w:cstheme="minorHAnsi"/>
        </w:rPr>
      </w:pPr>
    </w:p>
    <w:p w14:paraId="5D3D5E07" w14:textId="77777777" w:rsidR="00D615C2" w:rsidRPr="00EE2910" w:rsidRDefault="00D615C2" w:rsidP="00D615C2">
      <w:pPr>
        <w:pStyle w:val="Odstavecstyl"/>
        <w:rPr>
          <w:rFonts w:asciiTheme="minorHAnsi" w:hAnsiTheme="minorHAnsi" w:cstheme="minorHAnsi"/>
        </w:rPr>
      </w:pPr>
    </w:p>
    <w:p w14:paraId="164D202A" w14:textId="77777777" w:rsidR="00D615C2" w:rsidRPr="00EE2910" w:rsidRDefault="00D615C2" w:rsidP="00D615C2">
      <w:pPr>
        <w:pStyle w:val="Odstavecstyl"/>
        <w:rPr>
          <w:rFonts w:asciiTheme="minorHAnsi" w:hAnsiTheme="minorHAnsi" w:cstheme="minorHAnsi"/>
        </w:rPr>
      </w:pPr>
    </w:p>
    <w:p w14:paraId="27D7BB22" w14:textId="77777777" w:rsidR="00D615C2" w:rsidRPr="00EE2910" w:rsidRDefault="00D615C2" w:rsidP="00D615C2">
      <w:pPr>
        <w:pStyle w:val="Odstavecstyl"/>
        <w:rPr>
          <w:rFonts w:asciiTheme="minorHAnsi" w:hAnsiTheme="minorHAnsi" w:cstheme="minorHAnsi"/>
        </w:rPr>
      </w:pPr>
    </w:p>
    <w:p w14:paraId="1A32D2F5" w14:textId="77777777" w:rsidR="00D615C2" w:rsidRPr="00EE2910" w:rsidRDefault="00D615C2" w:rsidP="00D615C2">
      <w:pPr>
        <w:pStyle w:val="Odstavecstyl"/>
        <w:rPr>
          <w:rFonts w:asciiTheme="minorHAnsi" w:hAnsiTheme="minorHAnsi" w:cstheme="minorHAnsi"/>
        </w:rPr>
      </w:pPr>
    </w:p>
    <w:p w14:paraId="2AD3BF0C" w14:textId="77777777" w:rsidR="00D615C2" w:rsidRPr="00EE2910" w:rsidRDefault="00D615C2" w:rsidP="00D615C2">
      <w:pPr>
        <w:pStyle w:val="Odstavecstyl"/>
        <w:rPr>
          <w:rFonts w:asciiTheme="minorHAnsi" w:hAnsiTheme="minorHAnsi" w:cstheme="minorHAnsi"/>
          <w:i/>
          <w:sz w:val="18"/>
        </w:rPr>
      </w:pPr>
      <w:r w:rsidRPr="00EE2910">
        <w:rPr>
          <w:rFonts w:asciiTheme="minorHAnsi" w:hAnsiTheme="minorHAnsi" w:cstheme="minorHAnsi"/>
          <w:i/>
          <w:sz w:val="18"/>
        </w:rPr>
        <w:t xml:space="preserve">[Pozn.: Obsahují-li zadávací podmínky či jiné podklady pro zpracování nabídky poskytnuté zadavatelem požadavky nebo odkazy na obchodní firmy, názvy nebo jména a příjmení, specifická označení zboží a služeb, které platí pro určitou osobu, případně její organizační složku za příznačné, patenty na vynálezy, užitné vzory, průmyslové vzory, ochranné známky nebo označení původu, pokud by to vedlo ke zvýhodnění nebo vyloučení určitých dodavatelů nebo určitých výrobků, má se za to, že zadavatel připouští pro plnění zakázky použití i jiných, kvalitativně a technicky obdobných řešení.] </w:t>
      </w:r>
    </w:p>
    <w:p w14:paraId="1854F220" w14:textId="77777777" w:rsidR="00D615C2" w:rsidRPr="00EE2910" w:rsidRDefault="00D615C2" w:rsidP="00D615C2">
      <w:pPr>
        <w:rPr>
          <w:rFonts w:cstheme="minorHAnsi"/>
          <w:b/>
          <w:noProof/>
          <w:sz w:val="24"/>
          <w:u w:val="single"/>
          <w:lang w:eastAsia="cs-CZ"/>
        </w:rPr>
      </w:pPr>
      <w:r w:rsidRPr="00EE2910">
        <w:rPr>
          <w:rFonts w:cstheme="minorHAnsi"/>
        </w:rPr>
        <w:br w:type="page"/>
      </w:r>
    </w:p>
    <w:p w14:paraId="0DD96309" w14:textId="77777777" w:rsidR="00D615C2" w:rsidRPr="00EE2910" w:rsidRDefault="00D615C2" w:rsidP="00D615C2">
      <w:pPr>
        <w:pStyle w:val="Oddlstyl"/>
        <w:spacing w:after="144"/>
        <w:rPr>
          <w:rFonts w:cstheme="minorHAnsi"/>
          <w:sz w:val="22"/>
        </w:rPr>
      </w:pPr>
      <w:r w:rsidRPr="00EE2910">
        <w:rPr>
          <w:rFonts w:cstheme="minorHAnsi"/>
          <w:sz w:val="22"/>
        </w:rPr>
        <w:lastRenderedPageBreak/>
        <w:t>Technické parametry svítidel:</w:t>
      </w:r>
    </w:p>
    <w:p w14:paraId="5B08208D" w14:textId="77777777" w:rsidR="00726389" w:rsidRDefault="00726389" w:rsidP="00726389">
      <w:pPr>
        <w:pStyle w:val="Odstavecstyl"/>
        <w:rPr>
          <w:rFonts w:asciiTheme="minorHAnsi" w:hAnsiTheme="minorHAnsi" w:cstheme="minorHAnsi"/>
        </w:rPr>
      </w:pPr>
      <w:r w:rsidRPr="00FB7985">
        <w:rPr>
          <w:rFonts w:asciiTheme="minorHAnsi" w:hAnsiTheme="minorHAnsi" w:cstheme="minorHAnsi"/>
        </w:rPr>
        <w:t>Zadavatel požaduje po dodavateli, aby jím použitá osvětlovací tělesa splňovala všechny legislativně závazné požadavky dané platnou legislativou ČR a požadavky ČSN z hlediska bezpečnosti provozu osvětlovací soustavy a z hlediska vlivu osvětlovací soustavy na elektrickou síť. Příloha ZD č.7 uvádí požadavky zadavatele, kromě výše uvedených, na svítidla pro venkovní osvětlení. Zadavatel požaduje svítidla primárně navržená pro osazení deskou plošných spojů s LED čipy a čočkami. Splnění požadovaných parametrů deklaruje účastník vyplněním jednotlivých údajů v dokumentu „Technické parametry svítidel“ (Příloha ZD č.7), kde se buď volí mezi možnostmi Ano/ Ne, případně uvádí konkrétní hodnota příslušného parametru.</w:t>
      </w:r>
    </w:p>
    <w:p w14:paraId="61D59BBC" w14:textId="77777777" w:rsidR="00726389" w:rsidRPr="00FB7985" w:rsidRDefault="00726389" w:rsidP="00726389">
      <w:pPr>
        <w:pStyle w:val="Odstavecstyl"/>
        <w:rPr>
          <w:rFonts w:asciiTheme="minorHAnsi" w:hAnsiTheme="minorHAnsi" w:cstheme="minorHAnsi"/>
        </w:rPr>
      </w:pPr>
    </w:p>
    <w:p w14:paraId="5AC46552" w14:textId="77777777" w:rsidR="00726389" w:rsidRPr="00FB7985" w:rsidRDefault="00726389" w:rsidP="00726389">
      <w:pPr>
        <w:pStyle w:val="Odstavecstyl"/>
        <w:rPr>
          <w:rFonts w:asciiTheme="minorHAnsi" w:hAnsiTheme="minorHAnsi" w:cstheme="minorHAnsi"/>
        </w:rPr>
      </w:pPr>
      <w:r w:rsidRPr="00FB7985">
        <w:rPr>
          <w:rFonts w:asciiTheme="minorHAnsi" w:hAnsiTheme="minorHAnsi" w:cstheme="minorHAnsi"/>
        </w:rPr>
        <w:t xml:space="preserve">Splnění požadovaných parametrů svítidla </w:t>
      </w:r>
      <w:proofErr w:type="gramStart"/>
      <w:r w:rsidRPr="00FB7985">
        <w:rPr>
          <w:rFonts w:asciiTheme="minorHAnsi" w:hAnsiTheme="minorHAnsi" w:cstheme="minorHAnsi"/>
        </w:rPr>
        <w:t>doloží</w:t>
      </w:r>
      <w:proofErr w:type="gramEnd"/>
      <w:r w:rsidRPr="00FB7985">
        <w:rPr>
          <w:rFonts w:asciiTheme="minorHAnsi" w:hAnsiTheme="minorHAnsi" w:cstheme="minorHAnsi"/>
        </w:rPr>
        <w:t xml:space="preserve"> účastník katalogovým či technickým listem svítidla, z něhož musí vyplývat splnění veškerých požadavků definovaných zadavatelem v Příloze č.7. Společně s katalogovým listem příslušného svítidla předloží účastník také související dokumenty minimálně v tomto rozsahu:</w:t>
      </w:r>
    </w:p>
    <w:p w14:paraId="3B6FD574" w14:textId="77777777" w:rsidR="00726389" w:rsidRPr="00FB7985" w:rsidRDefault="00726389" w:rsidP="00726389">
      <w:pPr>
        <w:pStyle w:val="Odstavecstyl"/>
        <w:rPr>
          <w:rFonts w:asciiTheme="minorHAnsi" w:hAnsiTheme="minorHAnsi" w:cstheme="minorHAnsi"/>
        </w:rPr>
      </w:pPr>
      <w:r w:rsidRPr="00FB7985">
        <w:rPr>
          <w:rFonts w:asciiTheme="minorHAnsi" w:hAnsiTheme="minorHAnsi" w:cstheme="minorHAnsi"/>
        </w:rPr>
        <w:t>- deklarace o shodě (CE)</w:t>
      </w:r>
    </w:p>
    <w:p w14:paraId="4C5C94BD" w14:textId="77777777" w:rsidR="00726389" w:rsidRPr="00FB7985" w:rsidRDefault="00726389" w:rsidP="00726389">
      <w:pPr>
        <w:pStyle w:val="Odstavecstyl"/>
        <w:rPr>
          <w:rFonts w:asciiTheme="minorHAnsi" w:hAnsiTheme="minorHAnsi" w:cstheme="minorHAnsi"/>
        </w:rPr>
      </w:pPr>
      <w:r w:rsidRPr="00FB7985">
        <w:rPr>
          <w:rFonts w:asciiTheme="minorHAnsi" w:hAnsiTheme="minorHAnsi" w:cstheme="minorHAnsi"/>
        </w:rPr>
        <w:t>- deklarace o elektromagnetické kompatibilitě (EMC)</w:t>
      </w:r>
    </w:p>
    <w:p w14:paraId="16C2E916" w14:textId="77777777" w:rsidR="00726389" w:rsidRPr="00FB7985" w:rsidRDefault="00726389" w:rsidP="00726389">
      <w:pPr>
        <w:pStyle w:val="Odstavecstyl"/>
        <w:rPr>
          <w:rFonts w:asciiTheme="minorHAnsi" w:hAnsiTheme="minorHAnsi" w:cstheme="minorHAnsi"/>
        </w:rPr>
      </w:pPr>
      <w:r w:rsidRPr="00FB7985">
        <w:rPr>
          <w:rFonts w:asciiTheme="minorHAnsi" w:hAnsiTheme="minorHAnsi" w:cstheme="minorHAnsi"/>
        </w:rPr>
        <w:t>- protokol o IP</w:t>
      </w:r>
    </w:p>
    <w:p w14:paraId="4E749CF9" w14:textId="77777777" w:rsidR="00726389" w:rsidRPr="00FB7985" w:rsidRDefault="00726389" w:rsidP="00726389">
      <w:pPr>
        <w:pStyle w:val="Odstavecstyl"/>
        <w:rPr>
          <w:rFonts w:asciiTheme="minorHAnsi" w:hAnsiTheme="minorHAnsi" w:cstheme="minorHAnsi"/>
        </w:rPr>
      </w:pPr>
      <w:r w:rsidRPr="00FB7985">
        <w:rPr>
          <w:rFonts w:asciiTheme="minorHAnsi" w:hAnsiTheme="minorHAnsi" w:cstheme="minorHAnsi"/>
        </w:rPr>
        <w:t>- protokol o IK</w:t>
      </w:r>
    </w:p>
    <w:p w14:paraId="6AB6EE32" w14:textId="77777777" w:rsidR="00726389" w:rsidRDefault="00726389" w:rsidP="00726389">
      <w:pPr>
        <w:pStyle w:val="Odstavecstyl"/>
        <w:rPr>
          <w:rFonts w:asciiTheme="minorHAnsi" w:hAnsiTheme="minorHAnsi" w:cstheme="minorHAnsi"/>
        </w:rPr>
      </w:pPr>
      <w:r w:rsidRPr="00FB7985">
        <w:rPr>
          <w:rFonts w:asciiTheme="minorHAnsi" w:hAnsiTheme="minorHAnsi" w:cstheme="minorHAnsi"/>
        </w:rPr>
        <w:t>- certifikát ENEC</w:t>
      </w:r>
    </w:p>
    <w:p w14:paraId="600603BA" w14:textId="77777777" w:rsidR="00726389" w:rsidRPr="00FB7985" w:rsidRDefault="00726389" w:rsidP="00726389">
      <w:pPr>
        <w:pStyle w:val="Odstavecstyl"/>
        <w:rPr>
          <w:rFonts w:asciiTheme="minorHAnsi" w:hAnsiTheme="minorHAnsi" w:cstheme="minorHAnsi"/>
        </w:rPr>
      </w:pPr>
    </w:p>
    <w:p w14:paraId="21BE3575" w14:textId="77777777" w:rsidR="00726389" w:rsidRDefault="00726389" w:rsidP="00726389">
      <w:pPr>
        <w:pStyle w:val="Odstavecstyl"/>
        <w:rPr>
          <w:rFonts w:asciiTheme="minorHAnsi" w:hAnsiTheme="minorHAnsi" w:cstheme="minorHAnsi"/>
        </w:rPr>
      </w:pPr>
      <w:r w:rsidRPr="00FB7985">
        <w:rPr>
          <w:rFonts w:asciiTheme="minorHAnsi" w:hAnsiTheme="minorHAnsi" w:cstheme="minorHAnsi"/>
        </w:rPr>
        <w:t>Údaje vyplněné v Příloze č.7 musí korespondovat s předloženými dokumenty potvrzujícími požadované parametry, s katalogovým listem svítidla a se štítkem předloženého vzorku svítidla. Případný rozpor mezi vyplněnými parametry v Příloze č. 7 a příslušné dokumentaci svítidla bude zadavatelem považován za úmyslné zkreslení údajů v nabídce, které povede k vyřazení nabídky z hodnocení.</w:t>
      </w:r>
    </w:p>
    <w:p w14:paraId="6ACE911C" w14:textId="77777777" w:rsidR="00162BCD" w:rsidRDefault="00162BCD" w:rsidP="00162BCD">
      <w:pPr>
        <w:pStyle w:val="Titulek"/>
        <w:keepNext/>
      </w:pPr>
    </w:p>
    <w:p w14:paraId="2668DBF7" w14:textId="1003E61D" w:rsidR="00162BCD" w:rsidRDefault="00162BCD" w:rsidP="00162BCD">
      <w:pPr>
        <w:pStyle w:val="Titulek"/>
        <w:keepNext/>
      </w:pPr>
      <w:r>
        <w:t xml:space="preserve">Tabulka </w:t>
      </w:r>
      <w:fldSimple w:instr=" SEQ Tabulka \* ARABIC ">
        <w:r w:rsidR="00726389">
          <w:rPr>
            <w:noProof/>
          </w:rPr>
          <w:t>1</w:t>
        </w:r>
      </w:fldSimple>
      <w:r>
        <w:t xml:space="preserve"> - </w:t>
      </w:r>
      <w:r w:rsidRPr="00A105BE">
        <w:t>Technické požadavky zadavatele na svítidla ze vzorových výpočtů</w:t>
      </w:r>
    </w:p>
    <w:tbl>
      <w:tblPr>
        <w:tblStyle w:val="Mkatabulky"/>
        <w:tblW w:w="5000" w:type="pct"/>
        <w:tblLook w:val="04A0" w:firstRow="1" w:lastRow="0" w:firstColumn="1" w:lastColumn="0" w:noHBand="0" w:noVBand="1"/>
      </w:tblPr>
      <w:tblGrid>
        <w:gridCol w:w="4248"/>
        <w:gridCol w:w="4814"/>
      </w:tblGrid>
      <w:tr w:rsidR="00162BCD" w:rsidRPr="00EE5D2D" w14:paraId="28BB2D8A" w14:textId="77777777" w:rsidTr="00726389">
        <w:trPr>
          <w:trHeight w:val="255"/>
          <w:tblHeader/>
        </w:trPr>
        <w:tc>
          <w:tcPr>
            <w:tcW w:w="2344" w:type="pct"/>
            <w:shd w:val="clear" w:color="auto" w:fill="D9D9D9" w:themeFill="background1" w:themeFillShade="D9"/>
            <w:hideMark/>
          </w:tcPr>
          <w:p w14:paraId="261D7FAE" w14:textId="77777777" w:rsidR="00162BCD" w:rsidRPr="00EE5D2D" w:rsidRDefault="00162BCD" w:rsidP="00F46C2E">
            <w:pPr>
              <w:spacing w:after="144"/>
              <w:jc w:val="both"/>
              <w:rPr>
                <w:rStyle w:val="Tab-zhlav"/>
                <w:rFonts w:eastAsia="Times New Roman" w:cstheme="minorHAnsi"/>
                <w:bCs/>
                <w:color w:val="000000"/>
              </w:rPr>
            </w:pPr>
            <w:r w:rsidRPr="00EE5D2D">
              <w:rPr>
                <w:rStyle w:val="Tab-zhlav"/>
                <w:rFonts w:eastAsia="Times New Roman" w:cstheme="minorHAnsi"/>
                <w:bCs/>
                <w:color w:val="000000"/>
              </w:rPr>
              <w:t>Parametr nebo vlastnost</w:t>
            </w:r>
          </w:p>
        </w:tc>
        <w:tc>
          <w:tcPr>
            <w:tcW w:w="2656" w:type="pct"/>
            <w:shd w:val="clear" w:color="auto" w:fill="D9D9D9" w:themeFill="background1" w:themeFillShade="D9"/>
            <w:noWrap/>
            <w:hideMark/>
          </w:tcPr>
          <w:p w14:paraId="54B7F91F" w14:textId="77777777" w:rsidR="00162BCD" w:rsidRPr="00EE5D2D" w:rsidRDefault="00162BCD" w:rsidP="00F46C2E">
            <w:pPr>
              <w:spacing w:after="144"/>
              <w:jc w:val="both"/>
              <w:rPr>
                <w:rFonts w:eastAsia="Times New Roman" w:cstheme="minorHAnsi"/>
                <w:b/>
                <w:bCs/>
                <w:color w:val="000000"/>
                <w:sz w:val="20"/>
                <w:szCs w:val="20"/>
                <w:lang w:eastAsia="cs-CZ"/>
              </w:rPr>
            </w:pPr>
            <w:r w:rsidRPr="00EE5D2D">
              <w:rPr>
                <w:rStyle w:val="Tab-zhlav"/>
                <w:rFonts w:eastAsia="Times New Roman" w:cstheme="minorHAnsi"/>
                <w:bCs/>
                <w:color w:val="000000"/>
              </w:rPr>
              <w:t>Požadavek</w:t>
            </w:r>
          </w:p>
        </w:tc>
      </w:tr>
      <w:tr w:rsidR="00162BCD" w:rsidRPr="00EE5D2D" w14:paraId="12CA7A41" w14:textId="77777777" w:rsidTr="00726389">
        <w:trPr>
          <w:trHeight w:val="255"/>
        </w:trPr>
        <w:tc>
          <w:tcPr>
            <w:tcW w:w="2344" w:type="pct"/>
            <w:vMerge w:val="restart"/>
            <w:hideMark/>
          </w:tcPr>
          <w:p w14:paraId="2FCED5CF"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Celý korpus svítidla</w:t>
            </w:r>
          </w:p>
        </w:tc>
        <w:tc>
          <w:tcPr>
            <w:tcW w:w="2656" w:type="pct"/>
            <w:noWrap/>
            <w:hideMark/>
          </w:tcPr>
          <w:p w14:paraId="2CED3566"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Ze slitiny hliníku.</w:t>
            </w:r>
          </w:p>
        </w:tc>
      </w:tr>
      <w:tr w:rsidR="00162BCD" w:rsidRPr="00EE5D2D" w14:paraId="4AB8B329" w14:textId="77777777" w:rsidTr="00726389">
        <w:trPr>
          <w:trHeight w:val="70"/>
        </w:trPr>
        <w:tc>
          <w:tcPr>
            <w:tcW w:w="2344" w:type="pct"/>
            <w:vMerge/>
            <w:hideMark/>
          </w:tcPr>
          <w:p w14:paraId="7CC0CF00" w14:textId="77777777" w:rsidR="00162BCD" w:rsidRPr="00EE5D2D" w:rsidRDefault="00162BCD" w:rsidP="00F46C2E">
            <w:pPr>
              <w:spacing w:after="144"/>
              <w:rPr>
                <w:rFonts w:eastAsia="Times New Roman" w:cstheme="minorHAnsi"/>
                <w:color w:val="000000"/>
                <w:sz w:val="20"/>
                <w:szCs w:val="20"/>
                <w:lang w:eastAsia="cs-CZ"/>
              </w:rPr>
            </w:pPr>
          </w:p>
        </w:tc>
        <w:tc>
          <w:tcPr>
            <w:tcW w:w="2656" w:type="pct"/>
            <w:noWrap/>
            <w:hideMark/>
          </w:tcPr>
          <w:p w14:paraId="0BD22678"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Vyrobený technologií vysokotlakého lití.</w:t>
            </w:r>
          </w:p>
        </w:tc>
      </w:tr>
      <w:tr w:rsidR="00162BCD" w:rsidRPr="00EE5D2D" w14:paraId="3396F0F9" w14:textId="77777777" w:rsidTr="00726389">
        <w:trPr>
          <w:trHeight w:val="255"/>
        </w:trPr>
        <w:tc>
          <w:tcPr>
            <w:tcW w:w="2344" w:type="pct"/>
            <w:hideMark/>
          </w:tcPr>
          <w:p w14:paraId="2ABE030A"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Krytí pro optickou i elektrickou část svítidla</w:t>
            </w:r>
          </w:p>
        </w:tc>
        <w:tc>
          <w:tcPr>
            <w:tcW w:w="2656" w:type="pct"/>
            <w:hideMark/>
          </w:tcPr>
          <w:p w14:paraId="568753A0"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IP66 a vyšší</w:t>
            </w:r>
            <w:r>
              <w:rPr>
                <w:rFonts w:eastAsia="Times New Roman" w:cstheme="minorHAnsi"/>
                <w:color w:val="000000"/>
                <w:sz w:val="20"/>
                <w:szCs w:val="20"/>
                <w:lang w:eastAsia="cs-CZ"/>
              </w:rPr>
              <w:t>.</w:t>
            </w:r>
          </w:p>
        </w:tc>
      </w:tr>
      <w:tr w:rsidR="00162BCD" w:rsidRPr="00EE5D2D" w14:paraId="6B1758AB" w14:textId="77777777" w:rsidTr="00726389">
        <w:trPr>
          <w:trHeight w:val="255"/>
        </w:trPr>
        <w:tc>
          <w:tcPr>
            <w:tcW w:w="2344" w:type="pct"/>
            <w:hideMark/>
          </w:tcPr>
          <w:p w14:paraId="40A757E6"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Mechanická odolnost celého svítidla</w:t>
            </w:r>
          </w:p>
        </w:tc>
        <w:tc>
          <w:tcPr>
            <w:tcW w:w="2656" w:type="pct"/>
            <w:hideMark/>
          </w:tcPr>
          <w:p w14:paraId="6EE3EB6B"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IK09 a vyšší</w:t>
            </w:r>
            <w:r>
              <w:rPr>
                <w:rFonts w:eastAsia="Times New Roman" w:cstheme="minorHAnsi"/>
                <w:color w:val="000000"/>
                <w:sz w:val="20"/>
                <w:szCs w:val="20"/>
                <w:lang w:eastAsia="cs-CZ"/>
              </w:rPr>
              <w:t>.</w:t>
            </w:r>
          </w:p>
        </w:tc>
      </w:tr>
      <w:tr w:rsidR="00162BCD" w:rsidRPr="00EE5D2D" w14:paraId="43362357" w14:textId="77777777" w:rsidTr="00726389">
        <w:trPr>
          <w:trHeight w:val="255"/>
        </w:trPr>
        <w:tc>
          <w:tcPr>
            <w:tcW w:w="2344" w:type="pct"/>
            <w:hideMark/>
          </w:tcPr>
          <w:p w14:paraId="79B18ECE"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Difuzor svítidla</w:t>
            </w:r>
          </w:p>
        </w:tc>
        <w:tc>
          <w:tcPr>
            <w:tcW w:w="2656" w:type="pct"/>
            <w:hideMark/>
          </w:tcPr>
          <w:p w14:paraId="2BC06A40"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Tvrzené sklo</w:t>
            </w:r>
            <w:r>
              <w:rPr>
                <w:rFonts w:eastAsia="Times New Roman" w:cstheme="minorHAnsi"/>
                <w:color w:val="000000"/>
                <w:sz w:val="20"/>
                <w:szCs w:val="20"/>
                <w:lang w:eastAsia="cs-CZ"/>
              </w:rPr>
              <w:t>.</w:t>
            </w:r>
          </w:p>
        </w:tc>
      </w:tr>
      <w:tr w:rsidR="00162BCD" w:rsidRPr="00EE5D2D" w14:paraId="23A2C2E4" w14:textId="77777777" w:rsidTr="00726389">
        <w:trPr>
          <w:trHeight w:val="255"/>
        </w:trPr>
        <w:tc>
          <w:tcPr>
            <w:tcW w:w="2344" w:type="pct"/>
          </w:tcPr>
          <w:p w14:paraId="0EF6A17E" w14:textId="77777777" w:rsidR="00162BCD" w:rsidRPr="00EE5D2D" w:rsidRDefault="00162BCD" w:rsidP="00F46C2E">
            <w:pPr>
              <w:spacing w:after="144"/>
              <w:jc w:val="both"/>
              <w:rPr>
                <w:rFonts w:eastAsia="Times New Roman" w:cstheme="minorHAnsi"/>
                <w:color w:val="000000"/>
                <w:sz w:val="20"/>
                <w:szCs w:val="20"/>
                <w:lang w:eastAsia="cs-CZ"/>
              </w:rPr>
            </w:pPr>
            <w:r w:rsidRPr="00A25157">
              <w:rPr>
                <w:rFonts w:eastAsia="Times New Roman" w:cstheme="minorHAnsi"/>
                <w:color w:val="000000"/>
                <w:sz w:val="20"/>
                <w:szCs w:val="20"/>
                <w:lang w:eastAsia="cs-CZ"/>
              </w:rPr>
              <w:t>Bezpečná údržba a servis</w:t>
            </w:r>
          </w:p>
        </w:tc>
        <w:tc>
          <w:tcPr>
            <w:tcW w:w="2656" w:type="pct"/>
          </w:tcPr>
          <w:p w14:paraId="269E0CEE" w14:textId="77777777" w:rsidR="00162BCD" w:rsidRPr="00EE5D2D" w:rsidRDefault="00162BCD" w:rsidP="00F46C2E">
            <w:pPr>
              <w:spacing w:after="144"/>
              <w:jc w:val="both"/>
              <w:rPr>
                <w:rFonts w:eastAsia="Times New Roman" w:cstheme="minorHAnsi"/>
                <w:color w:val="000000"/>
                <w:sz w:val="20"/>
                <w:szCs w:val="20"/>
                <w:lang w:eastAsia="cs-CZ"/>
              </w:rPr>
            </w:pPr>
            <w:r w:rsidRPr="00A25157">
              <w:rPr>
                <w:rFonts w:eastAsia="Times New Roman" w:cstheme="minorHAnsi"/>
                <w:color w:val="000000"/>
                <w:sz w:val="20"/>
                <w:szCs w:val="20"/>
                <w:lang w:eastAsia="cs-CZ"/>
              </w:rPr>
              <w:t>Svítidlo musí být vybaveno odpojovačem napětí pro rozpojení napájení při jeho otevření.</w:t>
            </w:r>
          </w:p>
        </w:tc>
      </w:tr>
      <w:tr w:rsidR="00162BCD" w:rsidRPr="00EE5D2D" w14:paraId="38958588" w14:textId="77777777" w:rsidTr="00726389">
        <w:trPr>
          <w:trHeight w:val="255"/>
        </w:trPr>
        <w:tc>
          <w:tcPr>
            <w:tcW w:w="2344" w:type="pct"/>
            <w:vMerge w:val="restart"/>
            <w:hideMark/>
          </w:tcPr>
          <w:p w14:paraId="361B5874"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Přístup do tělesa svítidla</w:t>
            </w:r>
          </w:p>
        </w:tc>
        <w:tc>
          <w:tcPr>
            <w:tcW w:w="2656" w:type="pct"/>
            <w:hideMark/>
          </w:tcPr>
          <w:p w14:paraId="521D39C0"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 xml:space="preserve">Bez použití nástrojů. </w:t>
            </w:r>
          </w:p>
        </w:tc>
      </w:tr>
      <w:tr w:rsidR="00162BCD" w:rsidRPr="00EE5D2D" w14:paraId="758DD7B9" w14:textId="77777777" w:rsidTr="00726389">
        <w:trPr>
          <w:trHeight w:val="510"/>
        </w:trPr>
        <w:tc>
          <w:tcPr>
            <w:tcW w:w="2344" w:type="pct"/>
            <w:vMerge/>
            <w:hideMark/>
          </w:tcPr>
          <w:p w14:paraId="5B30771D" w14:textId="77777777" w:rsidR="00162BCD" w:rsidRPr="00EE5D2D" w:rsidRDefault="00162BCD" w:rsidP="00F46C2E">
            <w:pPr>
              <w:spacing w:after="144"/>
              <w:rPr>
                <w:rFonts w:eastAsia="Times New Roman" w:cstheme="minorHAnsi"/>
                <w:color w:val="000000"/>
                <w:sz w:val="20"/>
                <w:szCs w:val="20"/>
                <w:lang w:eastAsia="cs-CZ"/>
              </w:rPr>
            </w:pPr>
          </w:p>
        </w:tc>
        <w:tc>
          <w:tcPr>
            <w:tcW w:w="2656" w:type="pct"/>
            <w:hideMark/>
          </w:tcPr>
          <w:p w14:paraId="6D568307"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 xml:space="preserve">Po otevření svítidla, musí být obě části stále v pevném spojení, aby při servisu svítidel nedošlo k pádu žádné z nich. </w:t>
            </w:r>
          </w:p>
        </w:tc>
      </w:tr>
      <w:tr w:rsidR="00162BCD" w:rsidRPr="00EE5D2D" w14:paraId="3A9C4E8F" w14:textId="77777777" w:rsidTr="00726389">
        <w:trPr>
          <w:trHeight w:val="510"/>
        </w:trPr>
        <w:tc>
          <w:tcPr>
            <w:tcW w:w="2344" w:type="pct"/>
            <w:vMerge/>
            <w:hideMark/>
          </w:tcPr>
          <w:p w14:paraId="5D99C8F2" w14:textId="77777777" w:rsidR="00162BCD" w:rsidRPr="00EE5D2D" w:rsidRDefault="00162BCD" w:rsidP="00F46C2E">
            <w:pPr>
              <w:spacing w:after="144"/>
              <w:rPr>
                <w:rFonts w:eastAsia="Times New Roman" w:cstheme="minorHAnsi"/>
                <w:color w:val="000000"/>
                <w:sz w:val="20"/>
                <w:szCs w:val="20"/>
                <w:lang w:eastAsia="cs-CZ"/>
              </w:rPr>
            </w:pPr>
          </w:p>
        </w:tc>
        <w:tc>
          <w:tcPr>
            <w:tcW w:w="2656" w:type="pct"/>
            <w:hideMark/>
          </w:tcPr>
          <w:p w14:paraId="6FBEC5C0"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Po otevření svítidla musí být okamžitý přístup k elektronickému předřadníku a svorkovnici.</w:t>
            </w:r>
          </w:p>
        </w:tc>
      </w:tr>
      <w:tr w:rsidR="00162BCD" w:rsidRPr="00EE5D2D" w14:paraId="2CA7D6D5" w14:textId="77777777" w:rsidTr="00726389">
        <w:trPr>
          <w:trHeight w:val="255"/>
        </w:trPr>
        <w:tc>
          <w:tcPr>
            <w:tcW w:w="2344" w:type="pct"/>
            <w:vMerge/>
          </w:tcPr>
          <w:p w14:paraId="197EA01D" w14:textId="77777777" w:rsidR="00162BCD" w:rsidRPr="00EE5D2D" w:rsidRDefault="00162BCD" w:rsidP="00F46C2E">
            <w:pPr>
              <w:spacing w:after="144"/>
              <w:jc w:val="both"/>
              <w:rPr>
                <w:rFonts w:eastAsia="Times New Roman" w:cstheme="minorHAnsi"/>
                <w:color w:val="000000"/>
                <w:sz w:val="20"/>
                <w:szCs w:val="20"/>
                <w:lang w:eastAsia="cs-CZ"/>
              </w:rPr>
            </w:pPr>
          </w:p>
        </w:tc>
        <w:tc>
          <w:tcPr>
            <w:tcW w:w="2656" w:type="pct"/>
            <w:hideMark/>
          </w:tcPr>
          <w:p w14:paraId="29D13C0C" w14:textId="77777777" w:rsidR="00162BCD" w:rsidRPr="00EE5D2D" w:rsidRDefault="00162BCD" w:rsidP="00F46C2E">
            <w:pPr>
              <w:spacing w:after="144"/>
              <w:jc w:val="both"/>
              <w:rPr>
                <w:rFonts w:eastAsia="Times New Roman" w:cstheme="minorHAnsi"/>
                <w:color w:val="000000"/>
                <w:sz w:val="20"/>
                <w:szCs w:val="20"/>
                <w:lang w:eastAsia="cs-CZ"/>
              </w:rPr>
            </w:pPr>
            <w:r>
              <w:rPr>
                <w:rFonts w:eastAsia="Times New Roman" w:cstheme="minorHAnsi"/>
                <w:color w:val="000000"/>
                <w:sz w:val="20"/>
                <w:szCs w:val="20"/>
                <w:lang w:eastAsia="cs-CZ"/>
              </w:rPr>
              <w:t>Elektronická část je vyměnitelná bez použití nářadí.</w:t>
            </w:r>
          </w:p>
        </w:tc>
      </w:tr>
      <w:tr w:rsidR="00162BCD" w:rsidRPr="00EE5D2D" w14:paraId="59EA6597" w14:textId="77777777" w:rsidTr="00726389">
        <w:trPr>
          <w:trHeight w:val="255"/>
        </w:trPr>
        <w:tc>
          <w:tcPr>
            <w:tcW w:w="2344" w:type="pct"/>
          </w:tcPr>
          <w:p w14:paraId="3DE97B0D"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Možnosti instalace svítidla</w:t>
            </w:r>
          </w:p>
        </w:tc>
        <w:tc>
          <w:tcPr>
            <w:tcW w:w="2656" w:type="pct"/>
          </w:tcPr>
          <w:p w14:paraId="41227B1D" w14:textId="77777777" w:rsidR="00162BCD" w:rsidRPr="00EE5D2D" w:rsidRDefault="00162BCD" w:rsidP="00F46C2E">
            <w:pPr>
              <w:spacing w:after="144"/>
              <w:jc w:val="both"/>
              <w:rPr>
                <w:rFonts w:eastAsia="Times New Roman" w:cstheme="minorHAnsi"/>
                <w:color w:val="000000"/>
                <w:sz w:val="20"/>
                <w:szCs w:val="20"/>
                <w:lang w:eastAsia="cs-CZ"/>
              </w:rPr>
            </w:pPr>
            <w:r>
              <w:rPr>
                <w:rFonts w:eastAsia="Times New Roman" w:cstheme="minorHAnsi"/>
                <w:color w:val="000000"/>
                <w:sz w:val="20"/>
                <w:szCs w:val="20"/>
                <w:lang w:eastAsia="cs-CZ"/>
              </w:rPr>
              <w:t>V</w:t>
            </w:r>
            <w:r w:rsidRPr="00EE5D2D">
              <w:rPr>
                <w:rFonts w:eastAsia="Times New Roman" w:cstheme="minorHAnsi"/>
                <w:color w:val="000000"/>
                <w:sz w:val="20"/>
                <w:szCs w:val="20"/>
                <w:lang w:eastAsia="cs-CZ"/>
              </w:rPr>
              <w:t>ertikálně i horizontálně</w:t>
            </w:r>
            <w:r>
              <w:rPr>
                <w:rFonts w:eastAsia="Times New Roman" w:cstheme="minorHAnsi"/>
                <w:color w:val="000000"/>
                <w:sz w:val="20"/>
                <w:szCs w:val="20"/>
                <w:lang w:eastAsia="cs-CZ"/>
              </w:rPr>
              <w:t>.</w:t>
            </w:r>
          </w:p>
        </w:tc>
      </w:tr>
      <w:tr w:rsidR="00162BCD" w:rsidRPr="00EE5D2D" w14:paraId="1BE99862" w14:textId="77777777" w:rsidTr="00726389">
        <w:trPr>
          <w:trHeight w:val="255"/>
        </w:trPr>
        <w:tc>
          <w:tcPr>
            <w:tcW w:w="2344" w:type="pct"/>
            <w:hideMark/>
          </w:tcPr>
          <w:p w14:paraId="10484433"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Náklon svítidla</w:t>
            </w:r>
          </w:p>
        </w:tc>
        <w:tc>
          <w:tcPr>
            <w:tcW w:w="2656" w:type="pct"/>
            <w:hideMark/>
          </w:tcPr>
          <w:p w14:paraId="3F6D130C"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 xml:space="preserve"> - 15° až + 15° (max. krok po 5°)</w:t>
            </w:r>
          </w:p>
        </w:tc>
      </w:tr>
      <w:tr w:rsidR="00162BCD" w:rsidRPr="00EE5D2D" w14:paraId="316072BC" w14:textId="77777777" w:rsidTr="00726389">
        <w:trPr>
          <w:trHeight w:val="255"/>
        </w:trPr>
        <w:tc>
          <w:tcPr>
            <w:tcW w:w="2344" w:type="pct"/>
            <w:hideMark/>
          </w:tcPr>
          <w:p w14:paraId="6B87B2AD"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Záruka na svítidlo, a to na všechny jeho součásti i plnou funkčnost.</w:t>
            </w:r>
          </w:p>
        </w:tc>
        <w:tc>
          <w:tcPr>
            <w:tcW w:w="2656" w:type="pct"/>
            <w:hideMark/>
          </w:tcPr>
          <w:p w14:paraId="4FDE9733"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Minimálně 5 let</w:t>
            </w:r>
            <w:r>
              <w:rPr>
                <w:rFonts w:eastAsia="Times New Roman" w:cstheme="minorHAnsi"/>
                <w:color w:val="000000"/>
                <w:sz w:val="20"/>
                <w:szCs w:val="20"/>
                <w:lang w:eastAsia="cs-CZ"/>
              </w:rPr>
              <w:t>.</w:t>
            </w:r>
          </w:p>
        </w:tc>
      </w:tr>
      <w:tr w:rsidR="00162BCD" w:rsidRPr="00EE5D2D" w14:paraId="679B1BBA" w14:textId="77777777" w:rsidTr="00726389">
        <w:trPr>
          <w:trHeight w:val="255"/>
        </w:trPr>
        <w:tc>
          <w:tcPr>
            <w:tcW w:w="2344" w:type="pct"/>
            <w:hideMark/>
          </w:tcPr>
          <w:p w14:paraId="5C1E6126"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 xml:space="preserve">Životnost </w:t>
            </w:r>
          </w:p>
        </w:tc>
        <w:tc>
          <w:tcPr>
            <w:tcW w:w="2656" w:type="pct"/>
            <w:hideMark/>
          </w:tcPr>
          <w:p w14:paraId="1481DA41" w14:textId="77777777" w:rsidR="00162BCD" w:rsidRPr="00F96341" w:rsidRDefault="00162BCD" w:rsidP="00F46C2E">
            <w:pPr>
              <w:spacing w:after="144"/>
              <w:jc w:val="both"/>
              <w:rPr>
                <w:rFonts w:eastAsia="Times New Roman" w:cstheme="minorHAnsi"/>
                <w:color w:val="000000"/>
                <w:sz w:val="20"/>
                <w:szCs w:val="20"/>
                <w:lang w:eastAsia="cs-CZ"/>
              </w:rPr>
            </w:pPr>
            <w:r w:rsidRPr="00855E10">
              <w:rPr>
                <w:rFonts w:eastAsia="Times New Roman" w:cstheme="minorHAnsi"/>
                <w:color w:val="000000"/>
                <w:sz w:val="20"/>
                <w:szCs w:val="20"/>
                <w:lang w:eastAsia="cs-CZ"/>
              </w:rPr>
              <w:t>≥ 100 000 L90 B10, (při 25 °C)</w:t>
            </w:r>
          </w:p>
        </w:tc>
      </w:tr>
      <w:tr w:rsidR="00162BCD" w:rsidRPr="00EE5D2D" w14:paraId="554B14A8" w14:textId="77777777" w:rsidTr="00726389">
        <w:trPr>
          <w:trHeight w:val="510"/>
        </w:trPr>
        <w:tc>
          <w:tcPr>
            <w:tcW w:w="2344" w:type="pct"/>
            <w:hideMark/>
          </w:tcPr>
          <w:p w14:paraId="4483AE79"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Optické charakteristiky svítidla</w:t>
            </w:r>
          </w:p>
        </w:tc>
        <w:tc>
          <w:tcPr>
            <w:tcW w:w="2656" w:type="pct"/>
            <w:hideMark/>
          </w:tcPr>
          <w:p w14:paraId="0AC9341F"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 xml:space="preserve">Svítidlo musí být ve variantách alespoň 5 různých optických charakteristik. </w:t>
            </w:r>
          </w:p>
        </w:tc>
      </w:tr>
      <w:tr w:rsidR="00162BCD" w:rsidRPr="00EE5D2D" w14:paraId="086DEA09" w14:textId="77777777" w:rsidTr="00726389">
        <w:trPr>
          <w:trHeight w:val="510"/>
        </w:trPr>
        <w:tc>
          <w:tcPr>
            <w:tcW w:w="2344" w:type="pct"/>
          </w:tcPr>
          <w:p w14:paraId="3C644ADF" w14:textId="77777777" w:rsidR="00162BCD" w:rsidRPr="00EE5D2D" w:rsidRDefault="00162BCD" w:rsidP="00F46C2E">
            <w:pPr>
              <w:spacing w:after="144"/>
              <w:rPr>
                <w:rFonts w:eastAsia="Times New Roman" w:cstheme="minorHAnsi"/>
                <w:color w:val="000000"/>
                <w:sz w:val="20"/>
                <w:szCs w:val="20"/>
                <w:lang w:eastAsia="cs-CZ"/>
              </w:rPr>
            </w:pPr>
            <w:r>
              <w:rPr>
                <w:sz w:val="20"/>
                <w:szCs w:val="20"/>
              </w:rPr>
              <w:t xml:space="preserve">Ochrana přehřátí LED modulu </w:t>
            </w:r>
          </w:p>
        </w:tc>
        <w:tc>
          <w:tcPr>
            <w:tcW w:w="2656" w:type="pct"/>
          </w:tcPr>
          <w:p w14:paraId="6E991EAE" w14:textId="77777777" w:rsidR="00162BCD" w:rsidRPr="00EE5D2D" w:rsidRDefault="00162BCD" w:rsidP="00F46C2E">
            <w:pPr>
              <w:spacing w:after="144"/>
              <w:jc w:val="both"/>
              <w:rPr>
                <w:rFonts w:eastAsia="Times New Roman" w:cstheme="minorHAnsi"/>
                <w:color w:val="000000"/>
                <w:sz w:val="20"/>
                <w:szCs w:val="20"/>
                <w:lang w:eastAsia="cs-CZ"/>
              </w:rPr>
            </w:pPr>
            <w:r>
              <w:rPr>
                <w:sz w:val="20"/>
                <w:szCs w:val="20"/>
              </w:rPr>
              <w:t xml:space="preserve">LED modul musí být vybaven NTC termistorem, napájecí zdroj umožňuje regulaci výkonu svítidla, pokud teplota NTC termistoru </w:t>
            </w:r>
            <w:proofErr w:type="gramStart"/>
            <w:r>
              <w:rPr>
                <w:sz w:val="20"/>
                <w:szCs w:val="20"/>
              </w:rPr>
              <w:t>překročí</w:t>
            </w:r>
            <w:proofErr w:type="gramEnd"/>
            <w:r>
              <w:rPr>
                <w:sz w:val="20"/>
                <w:szCs w:val="20"/>
              </w:rPr>
              <w:t xml:space="preserve"> hraniční teplotu. </w:t>
            </w:r>
          </w:p>
        </w:tc>
      </w:tr>
      <w:tr w:rsidR="00162BCD" w:rsidRPr="00EE5D2D" w14:paraId="1F12D50F" w14:textId="77777777" w:rsidTr="00726389">
        <w:trPr>
          <w:trHeight w:val="255"/>
        </w:trPr>
        <w:tc>
          <w:tcPr>
            <w:tcW w:w="2344" w:type="pct"/>
            <w:hideMark/>
          </w:tcPr>
          <w:p w14:paraId="7BB807A0"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 xml:space="preserve">Světelný zdroj </w:t>
            </w:r>
          </w:p>
        </w:tc>
        <w:tc>
          <w:tcPr>
            <w:tcW w:w="2656" w:type="pct"/>
            <w:hideMark/>
          </w:tcPr>
          <w:p w14:paraId="5E098A56"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Svítidlo musí být osazeno čipy SMD; COB se nepřipouští.</w:t>
            </w:r>
          </w:p>
        </w:tc>
      </w:tr>
      <w:tr w:rsidR="00162BCD" w:rsidRPr="00EE5D2D" w14:paraId="486B2C80" w14:textId="77777777" w:rsidTr="00726389">
        <w:trPr>
          <w:trHeight w:val="255"/>
        </w:trPr>
        <w:tc>
          <w:tcPr>
            <w:tcW w:w="2344" w:type="pct"/>
            <w:hideMark/>
          </w:tcPr>
          <w:p w14:paraId="308455E0"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Teplota okolí v provozu svítidla</w:t>
            </w:r>
          </w:p>
        </w:tc>
        <w:tc>
          <w:tcPr>
            <w:tcW w:w="2656" w:type="pct"/>
            <w:hideMark/>
          </w:tcPr>
          <w:p w14:paraId="5FDF3968"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 xml:space="preserve"> </w:t>
            </w:r>
            <w:r w:rsidRPr="00855E10">
              <w:rPr>
                <w:rFonts w:eastAsia="Times New Roman" w:cstheme="minorHAnsi"/>
                <w:color w:val="000000"/>
                <w:sz w:val="20"/>
                <w:szCs w:val="20"/>
                <w:lang w:eastAsia="cs-CZ"/>
              </w:rPr>
              <w:t>-</w:t>
            </w:r>
            <w:r>
              <w:rPr>
                <w:rFonts w:eastAsia="Times New Roman" w:cstheme="minorHAnsi"/>
                <w:color w:val="000000"/>
                <w:sz w:val="20"/>
                <w:szCs w:val="20"/>
                <w:lang w:eastAsia="cs-CZ"/>
              </w:rPr>
              <w:t>3</w:t>
            </w:r>
            <w:r w:rsidRPr="00855E10">
              <w:rPr>
                <w:rFonts w:eastAsia="Times New Roman" w:cstheme="minorHAnsi"/>
                <w:color w:val="000000"/>
                <w:sz w:val="20"/>
                <w:szCs w:val="20"/>
                <w:lang w:eastAsia="cs-CZ"/>
              </w:rPr>
              <w:t xml:space="preserve">0 °C až + </w:t>
            </w:r>
            <w:r>
              <w:rPr>
                <w:rFonts w:eastAsia="Times New Roman" w:cstheme="minorHAnsi"/>
                <w:color w:val="000000"/>
                <w:sz w:val="20"/>
                <w:szCs w:val="20"/>
                <w:lang w:eastAsia="cs-CZ"/>
              </w:rPr>
              <w:t>45</w:t>
            </w:r>
            <w:r w:rsidRPr="00855E10">
              <w:rPr>
                <w:rFonts w:eastAsia="Times New Roman" w:cstheme="minorHAnsi"/>
                <w:color w:val="000000"/>
                <w:sz w:val="20"/>
                <w:szCs w:val="20"/>
                <w:lang w:eastAsia="cs-CZ"/>
              </w:rPr>
              <w:t xml:space="preserve"> °C</w:t>
            </w:r>
          </w:p>
        </w:tc>
      </w:tr>
      <w:tr w:rsidR="00162BCD" w:rsidRPr="00EE5D2D" w14:paraId="35C8C2D9" w14:textId="77777777" w:rsidTr="00726389">
        <w:trPr>
          <w:trHeight w:val="255"/>
        </w:trPr>
        <w:tc>
          <w:tcPr>
            <w:tcW w:w="2344" w:type="pct"/>
            <w:hideMark/>
          </w:tcPr>
          <w:p w14:paraId="52970DC7"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Třída ochrany</w:t>
            </w:r>
          </w:p>
        </w:tc>
        <w:tc>
          <w:tcPr>
            <w:tcW w:w="2656" w:type="pct"/>
            <w:hideMark/>
          </w:tcPr>
          <w:p w14:paraId="07F87EFC" w14:textId="77777777" w:rsidR="00162BCD" w:rsidRPr="005E22E7" w:rsidRDefault="00162BCD" w:rsidP="00F46C2E">
            <w:pPr>
              <w:spacing w:after="144"/>
              <w:jc w:val="both"/>
              <w:rPr>
                <w:rFonts w:eastAsia="Times New Roman" w:cstheme="minorHAnsi"/>
                <w:color w:val="000000"/>
                <w:sz w:val="20"/>
                <w:szCs w:val="20"/>
                <w:lang w:eastAsia="cs-CZ"/>
              </w:rPr>
            </w:pPr>
            <w:r w:rsidRPr="005E22E7">
              <w:rPr>
                <w:rFonts w:eastAsia="Times New Roman" w:cstheme="minorHAnsi"/>
                <w:color w:val="000000"/>
                <w:sz w:val="20"/>
                <w:szCs w:val="20"/>
                <w:lang w:eastAsia="cs-CZ"/>
              </w:rPr>
              <w:t xml:space="preserve">svítidlo musí být dostupné v třídě </w:t>
            </w:r>
            <w:r w:rsidRPr="001C0E3E">
              <w:rPr>
                <w:rFonts w:eastAsia="Times New Roman" w:cstheme="minorHAnsi"/>
                <w:color w:val="000000"/>
                <w:sz w:val="20"/>
                <w:szCs w:val="20"/>
                <w:lang w:eastAsia="cs-CZ"/>
              </w:rPr>
              <w:t>ochrany I, II</w:t>
            </w:r>
          </w:p>
        </w:tc>
      </w:tr>
      <w:tr w:rsidR="00162BCD" w:rsidRPr="00EE5D2D" w14:paraId="46E17DDA" w14:textId="77777777" w:rsidTr="00726389">
        <w:trPr>
          <w:trHeight w:val="255"/>
        </w:trPr>
        <w:tc>
          <w:tcPr>
            <w:tcW w:w="2344" w:type="pct"/>
            <w:hideMark/>
          </w:tcPr>
          <w:p w14:paraId="71E7DB37"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 xml:space="preserve">Index podání barev CRI neboli </w:t>
            </w:r>
            <w:proofErr w:type="spellStart"/>
            <w:r w:rsidRPr="00EE5D2D">
              <w:rPr>
                <w:rFonts w:eastAsia="Times New Roman" w:cstheme="minorHAnsi"/>
                <w:color w:val="000000"/>
                <w:sz w:val="20"/>
                <w:szCs w:val="20"/>
                <w:lang w:eastAsia="cs-CZ"/>
              </w:rPr>
              <w:t>Ra</w:t>
            </w:r>
            <w:proofErr w:type="spellEnd"/>
          </w:p>
        </w:tc>
        <w:tc>
          <w:tcPr>
            <w:tcW w:w="2656" w:type="pct"/>
            <w:hideMark/>
          </w:tcPr>
          <w:p w14:paraId="66D1CBC2"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&gt;70</w:t>
            </w:r>
          </w:p>
        </w:tc>
      </w:tr>
      <w:tr w:rsidR="00162BCD" w:rsidRPr="00EE5D2D" w14:paraId="17E6FEE7" w14:textId="77777777" w:rsidTr="00726389">
        <w:trPr>
          <w:trHeight w:val="255"/>
        </w:trPr>
        <w:tc>
          <w:tcPr>
            <w:tcW w:w="2344" w:type="pct"/>
            <w:hideMark/>
          </w:tcPr>
          <w:p w14:paraId="53A601AA" w14:textId="77777777" w:rsidR="00162BCD" w:rsidRPr="00EE5D2D" w:rsidRDefault="00162BCD" w:rsidP="00F46C2E">
            <w:pPr>
              <w:spacing w:after="144"/>
              <w:rPr>
                <w:rFonts w:eastAsia="Times New Roman" w:cstheme="minorHAnsi"/>
                <w:color w:val="000000"/>
                <w:sz w:val="20"/>
                <w:szCs w:val="20"/>
                <w:lang w:eastAsia="cs-CZ"/>
              </w:rPr>
            </w:pPr>
            <w:r w:rsidRPr="00EE5D2D">
              <w:rPr>
                <w:rFonts w:eastAsia="Times New Roman" w:cstheme="minorHAnsi"/>
                <w:color w:val="000000"/>
                <w:sz w:val="20"/>
                <w:szCs w:val="20"/>
                <w:lang w:eastAsia="cs-CZ"/>
              </w:rPr>
              <w:t>Teplota chromatičnosti</w:t>
            </w:r>
            <w:r>
              <w:rPr>
                <w:rFonts w:eastAsia="Times New Roman" w:cstheme="minorHAnsi"/>
                <w:color w:val="000000"/>
                <w:sz w:val="20"/>
                <w:szCs w:val="20"/>
                <w:lang w:eastAsia="cs-CZ"/>
              </w:rPr>
              <w:t xml:space="preserve"> – silniční / přechodové</w:t>
            </w:r>
          </w:p>
        </w:tc>
        <w:tc>
          <w:tcPr>
            <w:tcW w:w="2656" w:type="pct"/>
            <w:hideMark/>
          </w:tcPr>
          <w:p w14:paraId="229ABF0F"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 xml:space="preserve">2 700 K </w:t>
            </w:r>
            <w:r>
              <w:rPr>
                <w:rFonts w:eastAsia="Times New Roman" w:cstheme="minorHAnsi"/>
                <w:color w:val="000000"/>
                <w:sz w:val="20"/>
                <w:szCs w:val="20"/>
                <w:lang w:eastAsia="cs-CZ"/>
              </w:rPr>
              <w:t xml:space="preserve">/ 4 000 K </w:t>
            </w:r>
            <w:r w:rsidRPr="00EE5D2D">
              <w:rPr>
                <w:rFonts w:eastAsia="Times New Roman" w:cstheme="minorHAnsi"/>
                <w:color w:val="000000"/>
                <w:sz w:val="20"/>
                <w:szCs w:val="20"/>
                <w:lang w:eastAsia="cs-CZ"/>
              </w:rPr>
              <w:t>± 10 %</w:t>
            </w:r>
          </w:p>
        </w:tc>
      </w:tr>
      <w:tr w:rsidR="00162BCD" w:rsidRPr="00EE5D2D" w14:paraId="328C7500" w14:textId="77777777" w:rsidTr="00726389">
        <w:trPr>
          <w:trHeight w:val="255"/>
        </w:trPr>
        <w:tc>
          <w:tcPr>
            <w:tcW w:w="2344" w:type="pct"/>
            <w:hideMark/>
          </w:tcPr>
          <w:p w14:paraId="13CDADBA"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Množství světla vyzařující do horní poloroviny</w:t>
            </w:r>
          </w:p>
        </w:tc>
        <w:tc>
          <w:tcPr>
            <w:tcW w:w="2656" w:type="pct"/>
            <w:hideMark/>
          </w:tcPr>
          <w:p w14:paraId="548E68D3"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ULOR = 0 %</w:t>
            </w:r>
          </w:p>
        </w:tc>
      </w:tr>
      <w:tr w:rsidR="00162BCD" w:rsidRPr="00EE5D2D" w14:paraId="31DDAF2F" w14:textId="77777777" w:rsidTr="00726389">
        <w:trPr>
          <w:trHeight w:val="510"/>
        </w:trPr>
        <w:tc>
          <w:tcPr>
            <w:tcW w:w="2344" w:type="pct"/>
            <w:hideMark/>
          </w:tcPr>
          <w:p w14:paraId="51713F44"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Barvy svítidla</w:t>
            </w:r>
          </w:p>
        </w:tc>
        <w:tc>
          <w:tcPr>
            <w:tcW w:w="2656" w:type="pct"/>
            <w:hideMark/>
          </w:tcPr>
          <w:p w14:paraId="0094EB60"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Svítidlo musí být dostupné v barvách dle celé stupnice RAL nebo AKZO</w:t>
            </w:r>
          </w:p>
        </w:tc>
      </w:tr>
      <w:tr w:rsidR="00162BCD" w:rsidRPr="00EE5D2D" w14:paraId="7324A590" w14:textId="77777777" w:rsidTr="00726389">
        <w:trPr>
          <w:trHeight w:val="510"/>
        </w:trPr>
        <w:tc>
          <w:tcPr>
            <w:tcW w:w="2344" w:type="pct"/>
          </w:tcPr>
          <w:p w14:paraId="20966CFA" w14:textId="77777777" w:rsidR="00162BCD" w:rsidRPr="00EE5D2D" w:rsidRDefault="00162BCD" w:rsidP="00F46C2E">
            <w:pPr>
              <w:spacing w:after="144"/>
              <w:jc w:val="both"/>
              <w:rPr>
                <w:rFonts w:eastAsia="Times New Roman" w:cstheme="minorHAnsi"/>
                <w:color w:val="000000"/>
                <w:sz w:val="20"/>
                <w:szCs w:val="20"/>
                <w:lang w:eastAsia="cs-CZ"/>
              </w:rPr>
            </w:pPr>
            <w:r>
              <w:rPr>
                <w:rFonts w:eastAsia="Times New Roman" w:cstheme="minorHAnsi"/>
                <w:color w:val="000000"/>
                <w:sz w:val="20"/>
                <w:szCs w:val="20"/>
                <w:lang w:eastAsia="cs-CZ"/>
              </w:rPr>
              <w:t>Přepěťová ochrana</w:t>
            </w:r>
          </w:p>
        </w:tc>
        <w:tc>
          <w:tcPr>
            <w:tcW w:w="2656" w:type="pct"/>
          </w:tcPr>
          <w:p w14:paraId="45DF7090" w14:textId="77777777" w:rsidR="00162BCD" w:rsidRPr="00EE5D2D" w:rsidRDefault="00162BCD" w:rsidP="00F46C2E">
            <w:pPr>
              <w:spacing w:after="144"/>
              <w:jc w:val="both"/>
              <w:rPr>
                <w:rFonts w:eastAsia="Times New Roman" w:cstheme="minorHAnsi"/>
                <w:color w:val="000000"/>
                <w:sz w:val="20"/>
                <w:szCs w:val="20"/>
                <w:lang w:eastAsia="cs-CZ"/>
              </w:rPr>
            </w:pPr>
            <w:r>
              <w:rPr>
                <w:rFonts w:eastAsia="Times New Roman" w:cstheme="minorHAnsi"/>
                <w:color w:val="000000"/>
                <w:sz w:val="20"/>
                <w:szCs w:val="20"/>
                <w:lang w:eastAsia="cs-CZ"/>
              </w:rPr>
              <w:t xml:space="preserve">Integrovaná ochrana proti přepětí nejméně 12 </w:t>
            </w:r>
            <w:proofErr w:type="spellStart"/>
            <w:r>
              <w:rPr>
                <w:rFonts w:eastAsia="Times New Roman" w:cstheme="minorHAnsi"/>
                <w:color w:val="000000"/>
                <w:sz w:val="20"/>
                <w:szCs w:val="20"/>
                <w:lang w:eastAsia="cs-CZ"/>
              </w:rPr>
              <w:t>kV</w:t>
            </w:r>
            <w:proofErr w:type="spellEnd"/>
            <w:r>
              <w:rPr>
                <w:rFonts w:eastAsia="Times New Roman" w:cstheme="minorHAnsi"/>
                <w:color w:val="000000"/>
                <w:sz w:val="20"/>
                <w:szCs w:val="20"/>
                <w:lang w:eastAsia="cs-CZ"/>
              </w:rPr>
              <w:t xml:space="preserve"> ve svítidle</w:t>
            </w:r>
          </w:p>
        </w:tc>
      </w:tr>
      <w:tr w:rsidR="00162BCD" w:rsidRPr="00EE5D2D" w14:paraId="039F04B9" w14:textId="77777777" w:rsidTr="00726389">
        <w:trPr>
          <w:trHeight w:val="510"/>
        </w:trPr>
        <w:tc>
          <w:tcPr>
            <w:tcW w:w="2344" w:type="pct"/>
            <w:vMerge w:val="restart"/>
            <w:hideMark/>
          </w:tcPr>
          <w:p w14:paraId="5FF086DD"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Předřadník svítidla</w:t>
            </w:r>
          </w:p>
        </w:tc>
        <w:tc>
          <w:tcPr>
            <w:tcW w:w="2656" w:type="pct"/>
            <w:hideMark/>
          </w:tcPr>
          <w:p w14:paraId="2972A860"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Elektronický předřadník musí být vybaven teplotní ochranou</w:t>
            </w:r>
          </w:p>
        </w:tc>
      </w:tr>
      <w:tr w:rsidR="00162BCD" w:rsidRPr="00EE5D2D" w14:paraId="1A0DC602" w14:textId="77777777" w:rsidTr="00726389">
        <w:trPr>
          <w:trHeight w:val="255"/>
        </w:trPr>
        <w:tc>
          <w:tcPr>
            <w:tcW w:w="2344" w:type="pct"/>
            <w:vMerge/>
            <w:hideMark/>
          </w:tcPr>
          <w:p w14:paraId="0684E050" w14:textId="77777777" w:rsidR="00162BCD" w:rsidRPr="00EE5D2D" w:rsidRDefault="00162BCD" w:rsidP="00F46C2E">
            <w:pPr>
              <w:spacing w:after="144"/>
              <w:rPr>
                <w:rFonts w:eastAsia="Times New Roman" w:cstheme="minorHAnsi"/>
                <w:color w:val="000000"/>
                <w:sz w:val="20"/>
                <w:szCs w:val="20"/>
                <w:lang w:eastAsia="cs-CZ"/>
              </w:rPr>
            </w:pPr>
          </w:p>
        </w:tc>
        <w:tc>
          <w:tcPr>
            <w:tcW w:w="2656" w:type="pct"/>
            <w:hideMark/>
          </w:tcPr>
          <w:p w14:paraId="329E0BE5" w14:textId="77777777" w:rsidR="00162BCD" w:rsidRPr="00EE5D2D" w:rsidRDefault="00162BCD" w:rsidP="00F46C2E">
            <w:pPr>
              <w:spacing w:after="144"/>
              <w:jc w:val="both"/>
              <w:rPr>
                <w:rFonts w:eastAsia="Times New Roman" w:cstheme="minorHAnsi"/>
                <w:color w:val="000000"/>
                <w:sz w:val="20"/>
                <w:szCs w:val="20"/>
                <w:lang w:eastAsia="cs-CZ"/>
              </w:rPr>
            </w:pPr>
            <w:proofErr w:type="spellStart"/>
            <w:r w:rsidRPr="00EE5D2D">
              <w:rPr>
                <w:rFonts w:eastAsia="Times New Roman" w:cstheme="minorHAnsi"/>
                <w:color w:val="000000"/>
                <w:sz w:val="20"/>
                <w:szCs w:val="20"/>
                <w:lang w:eastAsia="cs-CZ"/>
              </w:rPr>
              <w:t>Stmívatelný</w:t>
            </w:r>
            <w:proofErr w:type="spellEnd"/>
            <w:r w:rsidRPr="00EE5D2D">
              <w:rPr>
                <w:rFonts w:eastAsia="Times New Roman" w:cstheme="minorHAnsi"/>
                <w:color w:val="000000"/>
                <w:sz w:val="20"/>
                <w:szCs w:val="20"/>
                <w:lang w:eastAsia="cs-CZ"/>
              </w:rPr>
              <w:t xml:space="preserve"> s DALI protokolem.</w:t>
            </w:r>
          </w:p>
        </w:tc>
      </w:tr>
      <w:tr w:rsidR="00162BCD" w:rsidRPr="00EE5D2D" w14:paraId="4EAA8C59" w14:textId="77777777" w:rsidTr="00726389">
        <w:trPr>
          <w:trHeight w:val="510"/>
        </w:trPr>
        <w:tc>
          <w:tcPr>
            <w:tcW w:w="2344" w:type="pct"/>
            <w:hideMark/>
          </w:tcPr>
          <w:p w14:paraId="1D71F1CD"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CLO, autonomní noční stmívání</w:t>
            </w:r>
          </w:p>
        </w:tc>
        <w:tc>
          <w:tcPr>
            <w:tcW w:w="2656" w:type="pct"/>
            <w:hideMark/>
          </w:tcPr>
          <w:p w14:paraId="37560C5B"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Svítidlo musí být dostupné s technologií CLO a</w:t>
            </w:r>
            <w:r>
              <w:rPr>
                <w:rFonts w:eastAsia="Times New Roman" w:cstheme="minorHAnsi"/>
                <w:color w:val="000000"/>
                <w:sz w:val="20"/>
                <w:szCs w:val="20"/>
                <w:lang w:eastAsia="cs-CZ"/>
              </w:rPr>
              <w:t xml:space="preserve"> s </w:t>
            </w:r>
            <w:r w:rsidRPr="00EE5D2D">
              <w:rPr>
                <w:rFonts w:eastAsia="Times New Roman" w:cstheme="minorHAnsi"/>
                <w:color w:val="000000"/>
                <w:sz w:val="20"/>
                <w:szCs w:val="20"/>
                <w:lang w:eastAsia="cs-CZ"/>
              </w:rPr>
              <w:t>autonomním nočním stmíváním.</w:t>
            </w:r>
          </w:p>
        </w:tc>
      </w:tr>
      <w:tr w:rsidR="00162BCD" w:rsidRPr="00EE5D2D" w14:paraId="6DC0EFCB" w14:textId="77777777" w:rsidTr="00726389">
        <w:trPr>
          <w:trHeight w:val="510"/>
        </w:trPr>
        <w:tc>
          <w:tcPr>
            <w:tcW w:w="2344" w:type="pct"/>
            <w:hideMark/>
          </w:tcPr>
          <w:p w14:paraId="7FD714DC"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Technické provedení svítidla</w:t>
            </w:r>
          </w:p>
        </w:tc>
        <w:tc>
          <w:tcPr>
            <w:tcW w:w="2656" w:type="pct"/>
            <w:hideMark/>
          </w:tcPr>
          <w:p w14:paraId="794836A7"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 xml:space="preserve">Svítidlo nesmí mít nikde žádné ostré hrany a nesmí mít žebrování, kde by se mohly usadit jakékoliv nečistoty. </w:t>
            </w:r>
          </w:p>
        </w:tc>
      </w:tr>
      <w:tr w:rsidR="00162BCD" w:rsidRPr="00EE5D2D" w14:paraId="4C6A4D0F" w14:textId="77777777" w:rsidTr="00726389">
        <w:trPr>
          <w:trHeight w:val="255"/>
        </w:trPr>
        <w:tc>
          <w:tcPr>
            <w:tcW w:w="2344" w:type="pct"/>
            <w:hideMark/>
          </w:tcPr>
          <w:p w14:paraId="1DBC3D14"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Chlazení svítidla</w:t>
            </w:r>
          </w:p>
        </w:tc>
        <w:tc>
          <w:tcPr>
            <w:tcW w:w="2656" w:type="pct"/>
            <w:hideMark/>
          </w:tcPr>
          <w:p w14:paraId="597FE555"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Svítidlo musí být chlazeno pasivně.</w:t>
            </w:r>
          </w:p>
        </w:tc>
      </w:tr>
      <w:tr w:rsidR="00162BCD" w:rsidRPr="00EE5D2D" w14:paraId="67EFF192" w14:textId="77777777" w:rsidTr="00726389">
        <w:trPr>
          <w:trHeight w:val="510"/>
        </w:trPr>
        <w:tc>
          <w:tcPr>
            <w:tcW w:w="2344" w:type="pct"/>
            <w:hideMark/>
          </w:tcPr>
          <w:p w14:paraId="251B1044"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Váha svítidla</w:t>
            </w:r>
          </w:p>
        </w:tc>
        <w:tc>
          <w:tcPr>
            <w:tcW w:w="2656" w:type="pct"/>
            <w:hideMark/>
          </w:tcPr>
          <w:p w14:paraId="1A4BD60D"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Svítidlo musí vážit maximálně 12 kg, v provedení při maximálním příkonu a velikosti včetně upevňovacího třmenu.</w:t>
            </w:r>
          </w:p>
        </w:tc>
      </w:tr>
      <w:tr w:rsidR="00162BCD" w:rsidRPr="00EE5D2D" w14:paraId="5429266C" w14:textId="77777777" w:rsidTr="00726389">
        <w:trPr>
          <w:trHeight w:val="553"/>
        </w:trPr>
        <w:tc>
          <w:tcPr>
            <w:tcW w:w="2344" w:type="pct"/>
            <w:hideMark/>
          </w:tcPr>
          <w:p w14:paraId="7B134C25"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Komunikace svítidla v rámci řídícího systému VO</w:t>
            </w:r>
          </w:p>
        </w:tc>
        <w:tc>
          <w:tcPr>
            <w:tcW w:w="2656" w:type="pct"/>
            <w:hideMark/>
          </w:tcPr>
          <w:p w14:paraId="2E5D2D0A" w14:textId="77777777" w:rsidR="00162BCD" w:rsidRPr="001071FF" w:rsidRDefault="00162BCD" w:rsidP="00F46C2E">
            <w:pPr>
              <w:spacing w:after="144"/>
              <w:jc w:val="both"/>
              <w:rPr>
                <w:rFonts w:eastAsia="Times New Roman" w:cstheme="minorHAnsi"/>
                <w:color w:val="000000"/>
                <w:sz w:val="20"/>
                <w:szCs w:val="20"/>
                <w:lang w:eastAsia="cs-CZ"/>
              </w:rPr>
            </w:pPr>
            <w:r w:rsidRPr="001071FF">
              <w:rPr>
                <w:sz w:val="20"/>
                <w:szCs w:val="20"/>
              </w:rPr>
              <w:t xml:space="preserve">Svítidlo musí mít u elektronické části instalovánu patici </w:t>
            </w:r>
            <w:r>
              <w:rPr>
                <w:rFonts w:eastAsia="Times New Roman" w:cstheme="minorHAnsi"/>
                <w:sz w:val="20"/>
                <w:szCs w:val="20"/>
                <w:lang w:eastAsia="cs-CZ"/>
              </w:rPr>
              <w:t xml:space="preserve">NEMA 7PIN </w:t>
            </w:r>
            <w:r w:rsidRPr="001071FF">
              <w:rPr>
                <w:sz w:val="20"/>
                <w:szCs w:val="20"/>
              </w:rPr>
              <w:t xml:space="preserve">se záslepkou </w:t>
            </w:r>
          </w:p>
        </w:tc>
      </w:tr>
      <w:tr w:rsidR="00162BCD" w:rsidRPr="00EE5D2D" w14:paraId="5E174562" w14:textId="77777777" w:rsidTr="00726389">
        <w:trPr>
          <w:trHeight w:val="522"/>
        </w:trPr>
        <w:tc>
          <w:tcPr>
            <w:tcW w:w="2344" w:type="pct"/>
          </w:tcPr>
          <w:p w14:paraId="49B3E250" w14:textId="77777777" w:rsidR="00162BCD" w:rsidRPr="00EE5D2D" w:rsidRDefault="00162BCD" w:rsidP="00F46C2E">
            <w:pPr>
              <w:spacing w:after="144"/>
              <w:jc w:val="both"/>
              <w:rPr>
                <w:rFonts w:eastAsia="Times New Roman" w:cstheme="minorHAnsi"/>
                <w:color w:val="000000"/>
                <w:sz w:val="20"/>
                <w:szCs w:val="20"/>
                <w:lang w:eastAsia="cs-CZ"/>
              </w:rPr>
            </w:pPr>
            <w:r w:rsidRPr="00D5156A">
              <w:rPr>
                <w:rFonts w:eastAsia="Times New Roman" w:cstheme="minorHAnsi"/>
                <w:color w:val="000000"/>
                <w:sz w:val="20"/>
                <w:szCs w:val="20"/>
                <w:lang w:eastAsia="cs-CZ"/>
              </w:rPr>
              <w:t>Vyrovnávání vnitřního tlaku</w:t>
            </w:r>
          </w:p>
        </w:tc>
        <w:tc>
          <w:tcPr>
            <w:tcW w:w="2656" w:type="pct"/>
          </w:tcPr>
          <w:p w14:paraId="14FDF22E" w14:textId="77777777" w:rsidR="00162BCD" w:rsidRPr="00EE5D2D" w:rsidRDefault="00162BCD" w:rsidP="00F46C2E">
            <w:pPr>
              <w:spacing w:after="144"/>
              <w:jc w:val="both"/>
              <w:rPr>
                <w:rFonts w:eastAsia="Times New Roman" w:cstheme="minorHAnsi"/>
                <w:color w:val="000000"/>
                <w:sz w:val="20"/>
                <w:szCs w:val="20"/>
                <w:lang w:eastAsia="cs-CZ"/>
              </w:rPr>
            </w:pPr>
            <w:r w:rsidRPr="00D5156A">
              <w:rPr>
                <w:rFonts w:eastAsia="Times New Roman" w:cstheme="minorHAnsi"/>
                <w:color w:val="000000"/>
                <w:sz w:val="20"/>
                <w:szCs w:val="20"/>
                <w:lang w:eastAsia="cs-CZ"/>
              </w:rPr>
              <w:t>Vyrovnávání vnitřního tlaku pomoc</w:t>
            </w:r>
            <w:r>
              <w:rPr>
                <w:rFonts w:eastAsia="Times New Roman" w:cstheme="minorHAnsi"/>
                <w:color w:val="000000"/>
                <w:sz w:val="20"/>
                <w:szCs w:val="20"/>
                <w:lang w:eastAsia="cs-CZ"/>
              </w:rPr>
              <w:t>í</w:t>
            </w:r>
            <w:r w:rsidRPr="00D5156A">
              <w:rPr>
                <w:rFonts w:eastAsia="Times New Roman" w:cstheme="minorHAnsi"/>
                <w:color w:val="000000"/>
                <w:sz w:val="20"/>
                <w:szCs w:val="20"/>
                <w:lang w:eastAsia="cs-CZ"/>
              </w:rPr>
              <w:t xml:space="preserve"> ventilu</w:t>
            </w:r>
          </w:p>
        </w:tc>
      </w:tr>
      <w:tr w:rsidR="00162BCD" w:rsidRPr="00EE5D2D" w14:paraId="7B57A1D5" w14:textId="77777777" w:rsidTr="00726389">
        <w:trPr>
          <w:trHeight w:val="280"/>
        </w:trPr>
        <w:tc>
          <w:tcPr>
            <w:tcW w:w="2344" w:type="pct"/>
          </w:tcPr>
          <w:p w14:paraId="3DCDBBB6" w14:textId="77777777" w:rsidR="00162BCD" w:rsidRPr="00D5156A" w:rsidRDefault="00162BCD" w:rsidP="00F46C2E">
            <w:pPr>
              <w:spacing w:after="144"/>
              <w:rPr>
                <w:rFonts w:eastAsia="Times New Roman" w:cstheme="minorHAnsi"/>
                <w:color w:val="000000"/>
                <w:sz w:val="20"/>
                <w:szCs w:val="20"/>
                <w:lang w:eastAsia="cs-CZ"/>
              </w:rPr>
            </w:pPr>
            <w:r>
              <w:rPr>
                <w:sz w:val="20"/>
                <w:szCs w:val="20"/>
              </w:rPr>
              <w:t xml:space="preserve">Eliminace rušivého světla </w:t>
            </w:r>
          </w:p>
        </w:tc>
        <w:tc>
          <w:tcPr>
            <w:tcW w:w="2656" w:type="pct"/>
          </w:tcPr>
          <w:p w14:paraId="18A6F94E" w14:textId="77777777" w:rsidR="00162BCD" w:rsidRPr="00D5156A" w:rsidRDefault="00162BCD" w:rsidP="00F46C2E">
            <w:pPr>
              <w:spacing w:after="144"/>
              <w:rPr>
                <w:rFonts w:eastAsia="Times New Roman" w:cstheme="minorHAnsi"/>
                <w:color w:val="000000"/>
                <w:sz w:val="20"/>
                <w:szCs w:val="20"/>
                <w:lang w:eastAsia="cs-CZ"/>
              </w:rPr>
            </w:pPr>
            <w:r>
              <w:rPr>
                <w:sz w:val="20"/>
                <w:szCs w:val="20"/>
              </w:rPr>
              <w:t xml:space="preserve">Systém </w:t>
            </w:r>
            <w:proofErr w:type="spellStart"/>
            <w:r>
              <w:rPr>
                <w:sz w:val="20"/>
                <w:szCs w:val="20"/>
              </w:rPr>
              <w:t>Backlight</w:t>
            </w:r>
            <w:proofErr w:type="spellEnd"/>
          </w:p>
        </w:tc>
      </w:tr>
      <w:tr w:rsidR="00162BCD" w:rsidRPr="00EE5D2D" w14:paraId="4D6FEB4B" w14:textId="77777777" w:rsidTr="00726389">
        <w:trPr>
          <w:trHeight w:val="306"/>
        </w:trPr>
        <w:tc>
          <w:tcPr>
            <w:tcW w:w="2344" w:type="pct"/>
          </w:tcPr>
          <w:p w14:paraId="6BE863C9" w14:textId="77777777" w:rsidR="00162BCD" w:rsidRPr="005220BE" w:rsidRDefault="00162BCD" w:rsidP="00F46C2E">
            <w:pPr>
              <w:spacing w:after="144"/>
              <w:jc w:val="both"/>
              <w:rPr>
                <w:rFonts w:eastAsia="Times New Roman" w:cstheme="minorHAnsi"/>
                <w:color w:val="FF0000"/>
                <w:sz w:val="20"/>
                <w:szCs w:val="20"/>
                <w:lang w:eastAsia="cs-CZ"/>
              </w:rPr>
            </w:pPr>
            <w:r w:rsidRPr="005220BE">
              <w:rPr>
                <w:rFonts w:eastAsia="Times New Roman" w:cstheme="minorHAnsi"/>
                <w:color w:val="000000"/>
                <w:sz w:val="20"/>
                <w:szCs w:val="20"/>
                <w:lang w:eastAsia="cs-CZ"/>
              </w:rPr>
              <w:t>Certifikáty k předložení zadavateli</w:t>
            </w:r>
            <w:r w:rsidRPr="005220BE">
              <w:rPr>
                <w:rFonts w:eastAsia="Times New Roman" w:cstheme="minorHAnsi"/>
                <w:sz w:val="20"/>
                <w:szCs w:val="20"/>
                <w:lang w:eastAsia="cs-CZ"/>
              </w:rPr>
              <w:t xml:space="preserve">, včetně </w:t>
            </w:r>
            <w:proofErr w:type="spellStart"/>
            <w:r w:rsidRPr="005220BE">
              <w:rPr>
                <w:rFonts w:eastAsia="Times New Roman" w:cstheme="minorHAnsi"/>
                <w:sz w:val="20"/>
                <w:szCs w:val="20"/>
                <w:lang w:eastAsia="cs-CZ"/>
              </w:rPr>
              <w:t>testreportů</w:t>
            </w:r>
            <w:proofErr w:type="spellEnd"/>
          </w:p>
        </w:tc>
        <w:tc>
          <w:tcPr>
            <w:tcW w:w="2656" w:type="pct"/>
          </w:tcPr>
          <w:p w14:paraId="4D48F627" w14:textId="77777777" w:rsidR="00162BCD" w:rsidRPr="00B6368A" w:rsidRDefault="00162BCD" w:rsidP="00F46C2E">
            <w:pPr>
              <w:spacing w:after="144"/>
              <w:jc w:val="both"/>
              <w:rPr>
                <w:rFonts w:eastAsia="Times New Roman" w:cstheme="minorHAnsi"/>
                <w:color w:val="FF0000"/>
                <w:sz w:val="20"/>
                <w:szCs w:val="20"/>
                <w:lang w:eastAsia="cs-CZ"/>
              </w:rPr>
            </w:pPr>
            <w:r>
              <w:rPr>
                <w:rFonts w:eastAsia="Times New Roman" w:cstheme="minorHAnsi"/>
                <w:color w:val="000000"/>
                <w:sz w:val="20"/>
                <w:szCs w:val="20"/>
                <w:lang w:eastAsia="cs-CZ"/>
              </w:rPr>
              <w:t>ENEC</w:t>
            </w:r>
          </w:p>
        </w:tc>
      </w:tr>
      <w:tr w:rsidR="00162BCD" w:rsidRPr="00EE5D2D" w14:paraId="51C7810B" w14:textId="77777777" w:rsidTr="00726389">
        <w:trPr>
          <w:trHeight w:val="255"/>
        </w:trPr>
        <w:tc>
          <w:tcPr>
            <w:tcW w:w="2344" w:type="pct"/>
            <w:hideMark/>
          </w:tcPr>
          <w:p w14:paraId="59A285D2" w14:textId="77777777" w:rsidR="00162BCD" w:rsidRPr="005220BE" w:rsidRDefault="00162BCD" w:rsidP="00F46C2E">
            <w:pPr>
              <w:spacing w:after="144"/>
              <w:jc w:val="both"/>
              <w:rPr>
                <w:rFonts w:eastAsia="Times New Roman" w:cstheme="minorHAnsi"/>
                <w:color w:val="000000"/>
                <w:sz w:val="20"/>
                <w:szCs w:val="20"/>
                <w:lang w:eastAsia="cs-CZ"/>
              </w:rPr>
            </w:pPr>
            <w:r w:rsidRPr="005220BE">
              <w:rPr>
                <w:rFonts w:eastAsia="Times New Roman" w:cstheme="minorHAnsi"/>
                <w:color w:val="000000"/>
                <w:sz w:val="20"/>
                <w:szCs w:val="20"/>
                <w:lang w:eastAsia="cs-CZ"/>
              </w:rPr>
              <w:lastRenderedPageBreak/>
              <w:t>Certifikáty k předložení zadavateli</w:t>
            </w:r>
            <w:r w:rsidRPr="005220BE">
              <w:rPr>
                <w:rFonts w:eastAsia="Times New Roman" w:cstheme="minorHAnsi"/>
                <w:sz w:val="20"/>
                <w:szCs w:val="20"/>
                <w:lang w:eastAsia="cs-CZ"/>
              </w:rPr>
              <w:t xml:space="preserve">, včetně </w:t>
            </w:r>
            <w:proofErr w:type="spellStart"/>
            <w:r w:rsidRPr="005220BE">
              <w:rPr>
                <w:rFonts w:eastAsia="Times New Roman" w:cstheme="minorHAnsi"/>
                <w:sz w:val="20"/>
                <w:szCs w:val="20"/>
                <w:lang w:eastAsia="cs-CZ"/>
              </w:rPr>
              <w:t>testreportů</w:t>
            </w:r>
            <w:proofErr w:type="spellEnd"/>
          </w:p>
        </w:tc>
        <w:tc>
          <w:tcPr>
            <w:tcW w:w="2656" w:type="pct"/>
            <w:hideMark/>
          </w:tcPr>
          <w:p w14:paraId="4AF4B782"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IK09 a vyšší</w:t>
            </w:r>
          </w:p>
        </w:tc>
      </w:tr>
      <w:tr w:rsidR="00162BCD" w:rsidRPr="00EE5D2D" w14:paraId="1475D05B" w14:textId="77777777" w:rsidTr="00726389">
        <w:trPr>
          <w:trHeight w:val="255"/>
        </w:trPr>
        <w:tc>
          <w:tcPr>
            <w:tcW w:w="2344" w:type="pct"/>
            <w:hideMark/>
          </w:tcPr>
          <w:p w14:paraId="6DAE6A65" w14:textId="77777777" w:rsidR="00162BCD" w:rsidRPr="005220BE" w:rsidRDefault="00162BCD" w:rsidP="00F46C2E">
            <w:pPr>
              <w:spacing w:after="144"/>
              <w:jc w:val="both"/>
              <w:rPr>
                <w:rFonts w:eastAsia="Times New Roman" w:cstheme="minorHAnsi"/>
                <w:sz w:val="20"/>
                <w:szCs w:val="20"/>
                <w:lang w:eastAsia="cs-CZ"/>
              </w:rPr>
            </w:pPr>
            <w:r w:rsidRPr="005220BE">
              <w:rPr>
                <w:rFonts w:eastAsia="Times New Roman" w:cstheme="minorHAnsi"/>
                <w:color w:val="000000"/>
                <w:sz w:val="20"/>
                <w:szCs w:val="20"/>
                <w:lang w:eastAsia="cs-CZ"/>
              </w:rPr>
              <w:t>Certifikáty k předložení zadavateli</w:t>
            </w:r>
            <w:r w:rsidRPr="005220BE">
              <w:rPr>
                <w:rFonts w:eastAsia="Times New Roman" w:cstheme="minorHAnsi"/>
                <w:sz w:val="20"/>
                <w:szCs w:val="20"/>
                <w:lang w:eastAsia="cs-CZ"/>
              </w:rPr>
              <w:t xml:space="preserve">, včetně </w:t>
            </w:r>
            <w:proofErr w:type="spellStart"/>
            <w:r w:rsidRPr="005220BE">
              <w:rPr>
                <w:rFonts w:eastAsia="Times New Roman" w:cstheme="minorHAnsi"/>
                <w:sz w:val="20"/>
                <w:szCs w:val="20"/>
                <w:lang w:eastAsia="cs-CZ"/>
              </w:rPr>
              <w:t>testreportů</w:t>
            </w:r>
            <w:proofErr w:type="spellEnd"/>
          </w:p>
        </w:tc>
        <w:tc>
          <w:tcPr>
            <w:tcW w:w="2656" w:type="pct"/>
            <w:hideMark/>
          </w:tcPr>
          <w:p w14:paraId="57349801"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IP66 a vyšší</w:t>
            </w:r>
          </w:p>
        </w:tc>
      </w:tr>
      <w:tr w:rsidR="00162BCD" w:rsidRPr="00EE5D2D" w14:paraId="335F5AF3" w14:textId="77777777" w:rsidTr="00726389">
        <w:trPr>
          <w:trHeight w:val="70"/>
        </w:trPr>
        <w:tc>
          <w:tcPr>
            <w:tcW w:w="2344" w:type="pct"/>
            <w:hideMark/>
          </w:tcPr>
          <w:p w14:paraId="06C6E317" w14:textId="77777777" w:rsidR="00162BCD" w:rsidRPr="005220BE" w:rsidRDefault="00162BCD" w:rsidP="00F46C2E">
            <w:pPr>
              <w:spacing w:after="144"/>
              <w:jc w:val="both"/>
              <w:rPr>
                <w:rFonts w:eastAsia="Times New Roman" w:cstheme="minorHAnsi"/>
                <w:color w:val="000000"/>
                <w:sz w:val="20"/>
                <w:szCs w:val="20"/>
                <w:lang w:eastAsia="cs-CZ"/>
              </w:rPr>
            </w:pPr>
            <w:r w:rsidRPr="005220BE">
              <w:rPr>
                <w:rFonts w:eastAsia="Times New Roman" w:cstheme="minorHAnsi"/>
                <w:color w:val="000000"/>
                <w:sz w:val="20"/>
                <w:szCs w:val="20"/>
                <w:lang w:eastAsia="cs-CZ"/>
              </w:rPr>
              <w:t>Certifikáty k předložení zadavateli</w:t>
            </w:r>
            <w:r w:rsidRPr="005220BE">
              <w:rPr>
                <w:rFonts w:eastAsia="Times New Roman" w:cstheme="minorHAnsi"/>
                <w:sz w:val="20"/>
                <w:szCs w:val="20"/>
                <w:lang w:eastAsia="cs-CZ"/>
              </w:rPr>
              <w:t xml:space="preserve">, včetně </w:t>
            </w:r>
            <w:proofErr w:type="spellStart"/>
            <w:r w:rsidRPr="005220BE">
              <w:rPr>
                <w:rFonts w:eastAsia="Times New Roman" w:cstheme="minorHAnsi"/>
                <w:sz w:val="20"/>
                <w:szCs w:val="20"/>
                <w:lang w:eastAsia="cs-CZ"/>
              </w:rPr>
              <w:t>testreportů</w:t>
            </w:r>
            <w:proofErr w:type="spellEnd"/>
          </w:p>
        </w:tc>
        <w:tc>
          <w:tcPr>
            <w:tcW w:w="2656" w:type="pct"/>
            <w:hideMark/>
          </w:tcPr>
          <w:p w14:paraId="1702AD65"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CE</w:t>
            </w:r>
          </w:p>
        </w:tc>
      </w:tr>
      <w:tr w:rsidR="00162BCD" w:rsidRPr="00EE5D2D" w14:paraId="02144B2F" w14:textId="77777777" w:rsidTr="00726389">
        <w:trPr>
          <w:trHeight w:val="70"/>
        </w:trPr>
        <w:tc>
          <w:tcPr>
            <w:tcW w:w="2344" w:type="pct"/>
          </w:tcPr>
          <w:p w14:paraId="6C30F092" w14:textId="77777777" w:rsidR="00162BCD" w:rsidRPr="005220BE" w:rsidRDefault="00162BCD" w:rsidP="00F46C2E">
            <w:pPr>
              <w:spacing w:after="144"/>
              <w:jc w:val="both"/>
              <w:rPr>
                <w:rFonts w:eastAsia="Times New Roman" w:cstheme="minorHAnsi"/>
                <w:color w:val="000000"/>
                <w:sz w:val="20"/>
                <w:szCs w:val="20"/>
                <w:lang w:eastAsia="cs-CZ"/>
              </w:rPr>
            </w:pPr>
            <w:r w:rsidRPr="005220BE">
              <w:rPr>
                <w:rFonts w:eastAsia="Times New Roman" w:cstheme="minorHAnsi"/>
                <w:color w:val="000000"/>
                <w:sz w:val="20"/>
                <w:szCs w:val="20"/>
                <w:lang w:eastAsia="cs-CZ"/>
              </w:rPr>
              <w:t>Certifikáty k předložení zadavateli</w:t>
            </w:r>
            <w:r w:rsidRPr="005220BE">
              <w:rPr>
                <w:rFonts w:eastAsia="Times New Roman" w:cstheme="minorHAnsi"/>
                <w:sz w:val="20"/>
                <w:szCs w:val="20"/>
                <w:lang w:eastAsia="cs-CZ"/>
              </w:rPr>
              <w:t xml:space="preserve">, včetně </w:t>
            </w:r>
            <w:proofErr w:type="spellStart"/>
            <w:r w:rsidRPr="005220BE">
              <w:rPr>
                <w:rFonts w:eastAsia="Times New Roman" w:cstheme="minorHAnsi"/>
                <w:sz w:val="20"/>
                <w:szCs w:val="20"/>
                <w:lang w:eastAsia="cs-CZ"/>
              </w:rPr>
              <w:t>testreportů</w:t>
            </w:r>
            <w:proofErr w:type="spellEnd"/>
          </w:p>
        </w:tc>
        <w:tc>
          <w:tcPr>
            <w:tcW w:w="2656" w:type="pct"/>
          </w:tcPr>
          <w:p w14:paraId="2C89F824" w14:textId="77777777" w:rsidR="00162BCD" w:rsidRPr="00EE5D2D" w:rsidRDefault="00162BCD" w:rsidP="00F46C2E">
            <w:pPr>
              <w:spacing w:after="144"/>
              <w:jc w:val="both"/>
              <w:rPr>
                <w:rFonts w:eastAsia="Times New Roman" w:cstheme="minorHAnsi"/>
                <w:color w:val="000000"/>
                <w:sz w:val="20"/>
                <w:szCs w:val="20"/>
                <w:lang w:eastAsia="cs-CZ"/>
              </w:rPr>
            </w:pPr>
            <w:r>
              <w:rPr>
                <w:rFonts w:eastAsia="Times New Roman" w:cstheme="minorHAnsi"/>
                <w:color w:val="000000"/>
                <w:sz w:val="20"/>
                <w:szCs w:val="20"/>
                <w:lang w:eastAsia="cs-CZ"/>
              </w:rPr>
              <w:t>EMC</w:t>
            </w:r>
          </w:p>
        </w:tc>
      </w:tr>
    </w:tbl>
    <w:p w14:paraId="5DC9E9DC" w14:textId="77777777" w:rsidR="00162BCD" w:rsidRDefault="00162BCD"/>
    <w:p w14:paraId="6F59A26F" w14:textId="77777777" w:rsidR="00726389" w:rsidRPr="00840BF7" w:rsidRDefault="00726389" w:rsidP="00726389">
      <w:pPr>
        <w:rPr>
          <w:b/>
          <w:bCs/>
          <w:u w:val="single"/>
        </w:rPr>
      </w:pPr>
    </w:p>
    <w:p w14:paraId="5CB97D59" w14:textId="77777777" w:rsidR="00726389" w:rsidRPr="00840BF7" w:rsidRDefault="00726389" w:rsidP="00726389">
      <w:pPr>
        <w:rPr>
          <w:b/>
          <w:bCs/>
          <w:u w:val="single"/>
        </w:rPr>
      </w:pPr>
      <w:r w:rsidRPr="00840BF7">
        <w:rPr>
          <w:b/>
          <w:bCs/>
          <w:u w:val="single"/>
        </w:rPr>
        <w:t>Požadavky na dodávky QR kódů do stožárů a mobilních aplikací pro komunikaci s QR kódy</w:t>
      </w:r>
    </w:p>
    <w:p w14:paraId="530AB771" w14:textId="77777777" w:rsidR="00726389" w:rsidRPr="00840BF7" w:rsidRDefault="00726389" w:rsidP="00726389">
      <w:pPr>
        <w:pStyle w:val="Normlnweb"/>
        <w:spacing w:before="0" w:beforeAutospacing="0" w:after="0" w:afterAutospacing="0"/>
        <w:jc w:val="both"/>
        <w:rPr>
          <w:rFonts w:asciiTheme="minorHAnsi" w:hAnsiTheme="minorHAnsi" w:cstheme="minorHAnsi"/>
          <w:sz w:val="20"/>
          <w:szCs w:val="20"/>
        </w:rPr>
      </w:pPr>
      <w:r w:rsidRPr="00840BF7">
        <w:rPr>
          <w:rFonts w:asciiTheme="minorHAnsi" w:hAnsiTheme="minorHAnsi" w:cstheme="minorHAnsi"/>
          <w:sz w:val="20"/>
          <w:szCs w:val="20"/>
        </w:rPr>
        <w:t>Součástí dodávky svítidel budou 2 nezávislé aplikace, které se ovládají pomocí QR kódů:</w:t>
      </w:r>
    </w:p>
    <w:p w14:paraId="5D2C4A68" w14:textId="77777777" w:rsidR="00726389" w:rsidRPr="00840BF7" w:rsidRDefault="00726389" w:rsidP="00726389">
      <w:pPr>
        <w:pStyle w:val="Normlnweb"/>
        <w:spacing w:before="0" w:beforeAutospacing="0" w:after="0" w:afterAutospacing="0"/>
        <w:jc w:val="both"/>
        <w:rPr>
          <w:rFonts w:asciiTheme="minorHAnsi" w:hAnsiTheme="minorHAnsi" w:cstheme="minorHAnsi"/>
          <w:sz w:val="20"/>
          <w:szCs w:val="20"/>
        </w:rPr>
      </w:pPr>
    </w:p>
    <w:p w14:paraId="072F6841" w14:textId="77777777" w:rsidR="00726389" w:rsidRPr="00840BF7" w:rsidRDefault="00726389" w:rsidP="00726389">
      <w:pPr>
        <w:pStyle w:val="Normlnweb"/>
        <w:numPr>
          <w:ilvl w:val="0"/>
          <w:numId w:val="2"/>
        </w:numPr>
        <w:spacing w:before="0" w:beforeAutospacing="0" w:after="0" w:afterAutospacing="0"/>
        <w:jc w:val="both"/>
        <w:rPr>
          <w:rFonts w:asciiTheme="minorHAnsi" w:hAnsiTheme="minorHAnsi" w:cstheme="minorHAnsi"/>
          <w:b/>
          <w:bCs/>
          <w:sz w:val="20"/>
          <w:szCs w:val="20"/>
        </w:rPr>
      </w:pPr>
      <w:r w:rsidRPr="00840BF7">
        <w:rPr>
          <w:rFonts w:asciiTheme="minorHAnsi" w:hAnsiTheme="minorHAnsi" w:cstheme="minorHAnsi"/>
          <w:b/>
          <w:bCs/>
          <w:sz w:val="20"/>
          <w:szCs w:val="20"/>
        </w:rPr>
        <w:t xml:space="preserve">aplikace pro subjekty zajišťující správu a servis svítidel </w:t>
      </w:r>
    </w:p>
    <w:p w14:paraId="40BF2B61" w14:textId="77777777" w:rsidR="00726389" w:rsidRPr="00840BF7" w:rsidRDefault="00726389" w:rsidP="00726389">
      <w:pPr>
        <w:pStyle w:val="Normlnweb"/>
        <w:numPr>
          <w:ilvl w:val="0"/>
          <w:numId w:val="2"/>
        </w:numPr>
        <w:spacing w:before="0" w:beforeAutospacing="0" w:after="0" w:afterAutospacing="0"/>
        <w:jc w:val="both"/>
        <w:rPr>
          <w:rFonts w:asciiTheme="minorHAnsi" w:hAnsiTheme="minorHAnsi" w:cstheme="minorHAnsi"/>
          <w:b/>
          <w:bCs/>
          <w:sz w:val="20"/>
          <w:szCs w:val="20"/>
        </w:rPr>
      </w:pPr>
      <w:r w:rsidRPr="00840BF7">
        <w:rPr>
          <w:rFonts w:asciiTheme="minorHAnsi" w:hAnsiTheme="minorHAnsi" w:cstheme="minorHAnsi"/>
          <w:b/>
          <w:bCs/>
          <w:sz w:val="20"/>
          <w:szCs w:val="20"/>
        </w:rPr>
        <w:t>aplikace pro veřejnost</w:t>
      </w:r>
    </w:p>
    <w:p w14:paraId="00EFF0B3" w14:textId="77777777" w:rsidR="00726389" w:rsidRPr="00840BF7" w:rsidRDefault="00726389" w:rsidP="00726389">
      <w:pPr>
        <w:pStyle w:val="Normlnweb"/>
        <w:spacing w:before="0" w:beforeAutospacing="0" w:after="0" w:afterAutospacing="0"/>
        <w:jc w:val="both"/>
        <w:rPr>
          <w:rFonts w:asciiTheme="minorHAnsi" w:hAnsiTheme="minorHAnsi" w:cstheme="minorHAnsi"/>
          <w:sz w:val="20"/>
          <w:szCs w:val="20"/>
        </w:rPr>
      </w:pPr>
    </w:p>
    <w:p w14:paraId="0FF1A8F2" w14:textId="77777777" w:rsidR="00726389" w:rsidRPr="00840BF7" w:rsidRDefault="00726389" w:rsidP="00726389">
      <w:pPr>
        <w:pStyle w:val="Normlnweb"/>
        <w:numPr>
          <w:ilvl w:val="0"/>
          <w:numId w:val="3"/>
        </w:numPr>
        <w:spacing w:before="0" w:beforeAutospacing="0" w:after="0" w:afterAutospacing="0"/>
        <w:jc w:val="both"/>
        <w:rPr>
          <w:rFonts w:asciiTheme="minorHAnsi" w:hAnsiTheme="minorHAnsi" w:cstheme="minorHAnsi"/>
          <w:sz w:val="20"/>
          <w:szCs w:val="20"/>
        </w:rPr>
      </w:pPr>
      <w:r w:rsidRPr="00840BF7">
        <w:rPr>
          <w:rFonts w:asciiTheme="minorHAnsi" w:hAnsiTheme="minorHAnsi" w:cstheme="minorHAnsi"/>
          <w:sz w:val="20"/>
          <w:szCs w:val="20"/>
        </w:rPr>
        <w:t>Aplikace pro subjekty zajišťující správu a servis svítidel musí umožňovat získat online servisní profil u každého produktu pro:</w:t>
      </w:r>
    </w:p>
    <w:p w14:paraId="44EAFBF2" w14:textId="77777777" w:rsidR="00726389" w:rsidRPr="00840BF7" w:rsidRDefault="00726389" w:rsidP="00726389">
      <w:pPr>
        <w:pStyle w:val="Normlnweb"/>
        <w:spacing w:before="0" w:beforeAutospacing="0" w:after="0" w:afterAutospacing="0"/>
        <w:ind w:left="720"/>
        <w:jc w:val="both"/>
        <w:rPr>
          <w:rFonts w:asciiTheme="minorHAnsi" w:hAnsiTheme="minorHAnsi" w:cstheme="minorHAnsi"/>
          <w:sz w:val="20"/>
          <w:szCs w:val="20"/>
        </w:rPr>
      </w:pPr>
    </w:p>
    <w:p w14:paraId="05D04274" w14:textId="77777777" w:rsidR="00726389" w:rsidRPr="00840BF7" w:rsidRDefault="00726389" w:rsidP="00726389">
      <w:pPr>
        <w:pStyle w:val="Normlnweb"/>
        <w:numPr>
          <w:ilvl w:val="0"/>
          <w:numId w:val="1"/>
        </w:numPr>
        <w:spacing w:before="0" w:beforeAutospacing="0" w:after="0" w:afterAutospacing="0"/>
        <w:jc w:val="both"/>
        <w:rPr>
          <w:rFonts w:asciiTheme="minorHAnsi" w:hAnsiTheme="minorHAnsi" w:cstheme="minorHAnsi"/>
          <w:sz w:val="20"/>
          <w:szCs w:val="20"/>
        </w:rPr>
      </w:pPr>
      <w:r w:rsidRPr="00840BF7">
        <w:rPr>
          <w:rFonts w:asciiTheme="minorHAnsi" w:hAnsiTheme="minorHAnsi" w:cstheme="minorHAnsi"/>
          <w:sz w:val="20"/>
          <w:szCs w:val="20"/>
        </w:rPr>
        <w:t xml:space="preserve">identifikaci jednotlivého produktu (svítidla) </w:t>
      </w:r>
    </w:p>
    <w:p w14:paraId="21921B88" w14:textId="77777777" w:rsidR="00726389" w:rsidRPr="00840BF7" w:rsidRDefault="00726389" w:rsidP="00726389">
      <w:pPr>
        <w:pStyle w:val="Normlnweb"/>
        <w:numPr>
          <w:ilvl w:val="0"/>
          <w:numId w:val="1"/>
        </w:numPr>
        <w:spacing w:before="0" w:beforeAutospacing="0" w:after="0" w:afterAutospacing="0"/>
        <w:jc w:val="both"/>
        <w:rPr>
          <w:rFonts w:asciiTheme="minorHAnsi" w:hAnsiTheme="minorHAnsi" w:cstheme="minorHAnsi"/>
          <w:b/>
          <w:bCs/>
          <w:sz w:val="20"/>
          <w:szCs w:val="20"/>
        </w:rPr>
      </w:pPr>
      <w:r w:rsidRPr="00840BF7">
        <w:rPr>
          <w:rFonts w:asciiTheme="minorHAnsi" w:hAnsiTheme="minorHAnsi" w:cstheme="minorHAnsi"/>
          <w:sz w:val="20"/>
          <w:szCs w:val="20"/>
        </w:rPr>
        <w:t>získání technické podpory</w:t>
      </w:r>
    </w:p>
    <w:p w14:paraId="7D36FD81" w14:textId="77777777" w:rsidR="00726389" w:rsidRPr="00840BF7" w:rsidRDefault="00726389" w:rsidP="00726389">
      <w:pPr>
        <w:pStyle w:val="Normlnweb"/>
        <w:numPr>
          <w:ilvl w:val="0"/>
          <w:numId w:val="1"/>
        </w:numPr>
        <w:spacing w:before="0" w:beforeAutospacing="0" w:after="0" w:afterAutospacing="0"/>
        <w:jc w:val="both"/>
        <w:rPr>
          <w:rFonts w:asciiTheme="minorHAnsi" w:hAnsiTheme="minorHAnsi" w:cstheme="minorHAnsi"/>
          <w:sz w:val="20"/>
          <w:szCs w:val="20"/>
        </w:rPr>
      </w:pPr>
      <w:r w:rsidRPr="00840BF7">
        <w:rPr>
          <w:rFonts w:asciiTheme="minorHAnsi" w:hAnsiTheme="minorHAnsi" w:cstheme="minorHAnsi"/>
          <w:sz w:val="20"/>
          <w:szCs w:val="20"/>
        </w:rPr>
        <w:t>získání technických informací o produktu (svítidle)</w:t>
      </w:r>
    </w:p>
    <w:p w14:paraId="41A83A8B" w14:textId="77777777" w:rsidR="00726389" w:rsidRPr="00840BF7" w:rsidRDefault="00726389" w:rsidP="00726389">
      <w:pPr>
        <w:pStyle w:val="Normlnweb"/>
        <w:numPr>
          <w:ilvl w:val="0"/>
          <w:numId w:val="1"/>
        </w:numPr>
        <w:spacing w:before="0" w:beforeAutospacing="0" w:after="0" w:afterAutospacing="0"/>
        <w:jc w:val="both"/>
        <w:rPr>
          <w:rFonts w:asciiTheme="minorHAnsi" w:hAnsiTheme="minorHAnsi" w:cstheme="minorHAnsi"/>
          <w:sz w:val="20"/>
          <w:szCs w:val="20"/>
        </w:rPr>
      </w:pPr>
      <w:r w:rsidRPr="00840BF7">
        <w:rPr>
          <w:rFonts w:asciiTheme="minorHAnsi" w:hAnsiTheme="minorHAnsi" w:cstheme="minorHAnsi"/>
          <w:sz w:val="20"/>
          <w:szCs w:val="20"/>
        </w:rPr>
        <w:t xml:space="preserve">komunikaci mezi dodavatelem a provozovatelem </w:t>
      </w:r>
    </w:p>
    <w:p w14:paraId="6DDAC9EC" w14:textId="77777777" w:rsidR="00726389" w:rsidRPr="00840BF7" w:rsidRDefault="00726389" w:rsidP="00726389">
      <w:pPr>
        <w:pStyle w:val="Normlnweb"/>
        <w:spacing w:before="0" w:beforeAutospacing="0" w:after="0" w:afterAutospacing="0"/>
        <w:ind w:left="720"/>
        <w:jc w:val="both"/>
        <w:rPr>
          <w:rFonts w:asciiTheme="minorHAnsi" w:hAnsiTheme="minorHAnsi" w:cstheme="minorHAnsi"/>
          <w:sz w:val="20"/>
          <w:szCs w:val="20"/>
        </w:rPr>
      </w:pPr>
      <w:r w:rsidRPr="00840BF7">
        <w:rPr>
          <w:rFonts w:asciiTheme="minorHAnsi" w:hAnsiTheme="minorHAnsi" w:cstheme="minorHAnsi"/>
          <w:sz w:val="20"/>
          <w:szCs w:val="20"/>
        </w:rPr>
        <w:t>Aplikace se ovládá pomocí načtení QR kódu do mobilního zařízení.</w:t>
      </w:r>
    </w:p>
    <w:p w14:paraId="7D81645B" w14:textId="77777777" w:rsidR="00726389" w:rsidRPr="00840BF7" w:rsidRDefault="00726389" w:rsidP="00726389">
      <w:pPr>
        <w:pStyle w:val="Normlnweb"/>
        <w:tabs>
          <w:tab w:val="left" w:pos="3012"/>
        </w:tabs>
        <w:spacing w:before="0" w:beforeAutospacing="0" w:after="0" w:afterAutospacing="0"/>
        <w:jc w:val="both"/>
        <w:rPr>
          <w:rFonts w:asciiTheme="minorHAnsi" w:hAnsiTheme="minorHAnsi" w:cstheme="minorHAnsi"/>
          <w:sz w:val="20"/>
          <w:szCs w:val="20"/>
        </w:rPr>
      </w:pPr>
      <w:r w:rsidRPr="00840BF7">
        <w:rPr>
          <w:rFonts w:asciiTheme="minorHAnsi" w:hAnsiTheme="minorHAnsi" w:cstheme="minorHAnsi"/>
          <w:sz w:val="20"/>
          <w:szCs w:val="20"/>
        </w:rPr>
        <w:tab/>
      </w:r>
    </w:p>
    <w:p w14:paraId="67F4008D" w14:textId="77777777" w:rsidR="00726389" w:rsidRPr="00840BF7" w:rsidRDefault="00726389" w:rsidP="00726389">
      <w:pPr>
        <w:pStyle w:val="Normlnweb"/>
        <w:numPr>
          <w:ilvl w:val="0"/>
          <w:numId w:val="3"/>
        </w:numPr>
        <w:spacing w:before="0" w:beforeAutospacing="0" w:after="0" w:afterAutospacing="0"/>
        <w:jc w:val="both"/>
        <w:rPr>
          <w:rFonts w:asciiTheme="minorHAnsi" w:hAnsiTheme="minorHAnsi" w:cstheme="minorHAnsi"/>
          <w:sz w:val="20"/>
          <w:szCs w:val="20"/>
        </w:rPr>
      </w:pPr>
      <w:r w:rsidRPr="00840BF7">
        <w:rPr>
          <w:rFonts w:asciiTheme="minorHAnsi" w:hAnsiTheme="minorHAnsi" w:cstheme="minorHAnsi"/>
          <w:sz w:val="20"/>
          <w:szCs w:val="20"/>
        </w:rPr>
        <w:t>Aplikace pro veřejnost zajišťuje občanům snadným způsobem přes aplikaci v mobilním zařízení nahlásit:</w:t>
      </w:r>
    </w:p>
    <w:p w14:paraId="16C6070E" w14:textId="77777777" w:rsidR="00726389" w:rsidRPr="00840BF7" w:rsidRDefault="00726389" w:rsidP="00726389">
      <w:pPr>
        <w:pStyle w:val="Normlnweb"/>
        <w:spacing w:before="0" w:beforeAutospacing="0" w:after="0" w:afterAutospacing="0"/>
        <w:jc w:val="both"/>
        <w:rPr>
          <w:rFonts w:asciiTheme="minorHAnsi" w:hAnsiTheme="minorHAnsi" w:cstheme="minorHAnsi"/>
          <w:sz w:val="20"/>
          <w:szCs w:val="20"/>
        </w:rPr>
      </w:pPr>
    </w:p>
    <w:p w14:paraId="460951CB" w14:textId="77777777" w:rsidR="00726389" w:rsidRPr="00840BF7" w:rsidRDefault="00726389" w:rsidP="00726389">
      <w:pPr>
        <w:pStyle w:val="Normlnweb"/>
        <w:numPr>
          <w:ilvl w:val="0"/>
          <w:numId w:val="1"/>
        </w:numPr>
        <w:spacing w:before="0" w:beforeAutospacing="0" w:after="0" w:afterAutospacing="0"/>
        <w:jc w:val="both"/>
        <w:rPr>
          <w:rFonts w:asciiTheme="minorHAnsi" w:hAnsiTheme="minorHAnsi" w:cstheme="minorHAnsi"/>
          <w:sz w:val="20"/>
          <w:szCs w:val="20"/>
        </w:rPr>
      </w:pPr>
      <w:r w:rsidRPr="00840BF7">
        <w:rPr>
          <w:rFonts w:asciiTheme="minorHAnsi" w:hAnsiTheme="minorHAnsi" w:cstheme="minorHAnsi"/>
          <w:sz w:val="20"/>
          <w:szCs w:val="20"/>
        </w:rPr>
        <w:t>problém či závadu světelného bodu, např. nefunkční svítidlo, nehodu, poškozený stožár atd.</w:t>
      </w:r>
    </w:p>
    <w:p w14:paraId="6E93AAF1" w14:textId="77777777" w:rsidR="00726389" w:rsidRPr="00840BF7" w:rsidRDefault="00726389" w:rsidP="00726389">
      <w:pPr>
        <w:pStyle w:val="Normlnweb"/>
        <w:numPr>
          <w:ilvl w:val="0"/>
          <w:numId w:val="1"/>
        </w:numPr>
        <w:tabs>
          <w:tab w:val="left" w:pos="3048"/>
        </w:tabs>
        <w:spacing w:before="0" w:beforeAutospacing="0" w:after="0" w:afterAutospacing="0"/>
        <w:jc w:val="both"/>
        <w:rPr>
          <w:rFonts w:asciiTheme="minorHAnsi" w:hAnsiTheme="minorHAnsi" w:cstheme="minorHAnsi"/>
          <w:sz w:val="20"/>
          <w:szCs w:val="20"/>
        </w:rPr>
      </w:pPr>
      <w:r w:rsidRPr="00840BF7">
        <w:rPr>
          <w:rFonts w:asciiTheme="minorHAnsi" w:hAnsiTheme="minorHAnsi" w:cstheme="minorHAnsi"/>
          <w:sz w:val="20"/>
          <w:szCs w:val="20"/>
        </w:rPr>
        <w:t>přesnou polohu světelného bodu</w:t>
      </w:r>
    </w:p>
    <w:p w14:paraId="3211C35B" w14:textId="77777777" w:rsidR="00726389" w:rsidRPr="00840BF7" w:rsidRDefault="00726389" w:rsidP="00726389">
      <w:pPr>
        <w:pStyle w:val="Normlnweb"/>
        <w:spacing w:before="0" w:beforeAutospacing="0" w:after="0" w:afterAutospacing="0"/>
        <w:ind w:left="720"/>
        <w:jc w:val="both"/>
        <w:rPr>
          <w:rFonts w:asciiTheme="minorHAnsi" w:hAnsiTheme="minorHAnsi" w:cstheme="minorHAnsi"/>
          <w:sz w:val="20"/>
          <w:szCs w:val="20"/>
        </w:rPr>
      </w:pPr>
      <w:r w:rsidRPr="00840BF7">
        <w:rPr>
          <w:rFonts w:asciiTheme="minorHAnsi" w:hAnsiTheme="minorHAnsi" w:cstheme="minorHAnsi"/>
          <w:sz w:val="20"/>
          <w:szCs w:val="20"/>
        </w:rPr>
        <w:t>Aplikace se ovládá pomocí načtení QR kódu do mobilního zařízení.</w:t>
      </w:r>
    </w:p>
    <w:p w14:paraId="6E8051CC" w14:textId="77777777" w:rsidR="00726389" w:rsidRPr="00840BF7" w:rsidRDefault="00726389" w:rsidP="00726389">
      <w:pPr>
        <w:pStyle w:val="Normlnweb"/>
        <w:tabs>
          <w:tab w:val="left" w:pos="3048"/>
        </w:tabs>
        <w:spacing w:before="0" w:beforeAutospacing="0" w:after="0" w:afterAutospacing="0"/>
        <w:ind w:left="720"/>
        <w:rPr>
          <w:rFonts w:asciiTheme="minorHAnsi" w:hAnsiTheme="minorHAnsi" w:cstheme="minorHAnsi"/>
          <w:sz w:val="20"/>
          <w:szCs w:val="20"/>
        </w:rPr>
      </w:pPr>
    </w:p>
    <w:p w14:paraId="4BCEF3D9" w14:textId="77777777" w:rsidR="00726389" w:rsidRPr="00840BF7" w:rsidRDefault="00726389" w:rsidP="00726389">
      <w:pPr>
        <w:rPr>
          <w:b/>
          <w:bCs/>
          <w:sz w:val="20"/>
          <w:szCs w:val="20"/>
        </w:rPr>
      </w:pPr>
      <w:r w:rsidRPr="00840BF7">
        <w:rPr>
          <w:sz w:val="20"/>
          <w:szCs w:val="20"/>
        </w:rPr>
        <w:t>Technická specifikace aplikace:</w:t>
      </w:r>
    </w:p>
    <w:p w14:paraId="5D6DA5AB" w14:textId="77777777" w:rsidR="00726389" w:rsidRPr="00840BF7" w:rsidRDefault="00726389" w:rsidP="00726389">
      <w:pPr>
        <w:numPr>
          <w:ilvl w:val="0"/>
          <w:numId w:val="4"/>
        </w:numPr>
        <w:spacing w:after="0" w:line="240" w:lineRule="auto"/>
        <w:textAlignment w:val="baseline"/>
        <w:rPr>
          <w:rFonts w:eastAsia="Times New Roman" w:cstheme="minorHAnsi"/>
          <w:sz w:val="20"/>
          <w:szCs w:val="20"/>
        </w:rPr>
      </w:pPr>
      <w:r w:rsidRPr="00840BF7">
        <w:rPr>
          <w:rFonts w:eastAsia="Times New Roman" w:cstheme="minorHAnsi"/>
          <w:sz w:val="20"/>
          <w:szCs w:val="20"/>
        </w:rPr>
        <w:t>dostupná a použitelná na iOS a Android zařízeních</w:t>
      </w:r>
    </w:p>
    <w:p w14:paraId="52798928" w14:textId="77777777" w:rsidR="00726389" w:rsidRPr="00840BF7" w:rsidRDefault="00726389" w:rsidP="00726389">
      <w:pPr>
        <w:numPr>
          <w:ilvl w:val="0"/>
          <w:numId w:val="4"/>
        </w:numPr>
        <w:spacing w:after="0" w:line="240" w:lineRule="auto"/>
        <w:textAlignment w:val="baseline"/>
        <w:rPr>
          <w:rFonts w:eastAsia="Times New Roman" w:cstheme="minorHAnsi"/>
          <w:sz w:val="20"/>
          <w:szCs w:val="20"/>
        </w:rPr>
      </w:pPr>
      <w:r w:rsidRPr="00840BF7">
        <w:rPr>
          <w:rFonts w:eastAsia="Times New Roman" w:cstheme="minorHAnsi"/>
          <w:sz w:val="20"/>
          <w:szCs w:val="20"/>
        </w:rPr>
        <w:t>uzpůsobená pro mobilní zařízení typu mobil či tablet</w:t>
      </w:r>
    </w:p>
    <w:p w14:paraId="1B8F9CEC" w14:textId="77777777" w:rsidR="00726389" w:rsidRPr="00840BF7" w:rsidRDefault="00726389" w:rsidP="00726389">
      <w:pPr>
        <w:numPr>
          <w:ilvl w:val="0"/>
          <w:numId w:val="4"/>
        </w:numPr>
        <w:spacing w:after="0" w:line="240" w:lineRule="auto"/>
        <w:textAlignment w:val="baseline"/>
        <w:rPr>
          <w:sz w:val="20"/>
          <w:szCs w:val="20"/>
        </w:rPr>
      </w:pPr>
      <w:r w:rsidRPr="00840BF7">
        <w:rPr>
          <w:rFonts w:eastAsia="Times New Roman" w:cstheme="minorHAnsi"/>
          <w:sz w:val="20"/>
          <w:szCs w:val="20"/>
        </w:rPr>
        <w:t>komunikační část s dodavatelem a odběratelem</w:t>
      </w:r>
    </w:p>
    <w:p w14:paraId="6F83D7F5" w14:textId="77777777" w:rsidR="00726389" w:rsidRPr="00840BF7" w:rsidRDefault="00726389" w:rsidP="00726389">
      <w:pPr>
        <w:jc w:val="both"/>
      </w:pPr>
    </w:p>
    <w:p w14:paraId="0A7FE8FF" w14:textId="77777777" w:rsidR="00726389" w:rsidRPr="00924E4C" w:rsidRDefault="00726389" w:rsidP="00726389">
      <w:pPr>
        <w:pStyle w:val="Oddlstyl"/>
        <w:spacing w:after="144"/>
        <w:rPr>
          <w:rFonts w:cstheme="minorHAnsi"/>
        </w:rPr>
      </w:pPr>
      <w:r w:rsidRPr="00924E4C">
        <w:rPr>
          <w:rFonts w:cstheme="minorHAnsi"/>
        </w:rPr>
        <w:t>Instalovaný příkon nových svítidel</w:t>
      </w:r>
    </w:p>
    <w:p w14:paraId="681A46CA" w14:textId="296DB754" w:rsidR="00726389" w:rsidRPr="000C3125" w:rsidRDefault="00726389" w:rsidP="00726389">
      <w:pPr>
        <w:spacing w:line="360" w:lineRule="auto"/>
        <w:jc w:val="both"/>
        <w:rPr>
          <w:rFonts w:eastAsia="Times New Roman" w:cstheme="minorHAnsi"/>
          <w:sz w:val="20"/>
          <w:szCs w:val="20"/>
          <w:lang w:eastAsia="cs-CZ"/>
        </w:rPr>
      </w:pPr>
      <w:r w:rsidRPr="000C3125">
        <w:rPr>
          <w:rFonts w:eastAsia="Times New Roman" w:cstheme="minorHAnsi"/>
          <w:b/>
          <w:bCs/>
          <w:sz w:val="20"/>
          <w:szCs w:val="20"/>
          <w:lang w:eastAsia="cs-CZ"/>
        </w:rPr>
        <w:t xml:space="preserve">Instalovaný příkon u všech nově navržených svítidel nesmí překročit hodnotu </w:t>
      </w:r>
      <w:r>
        <w:rPr>
          <w:rFonts w:eastAsia="Times New Roman" w:cstheme="minorHAnsi"/>
          <w:b/>
          <w:bCs/>
          <w:sz w:val="20"/>
          <w:szCs w:val="20"/>
          <w:lang w:eastAsia="cs-CZ"/>
        </w:rPr>
        <w:t>8,5704</w:t>
      </w:r>
      <w:r w:rsidRPr="009E7E4B">
        <w:rPr>
          <w:rFonts w:eastAsia="Times New Roman" w:cstheme="minorHAnsi"/>
          <w:b/>
          <w:bCs/>
          <w:sz w:val="20"/>
          <w:szCs w:val="20"/>
          <w:lang w:eastAsia="cs-CZ"/>
        </w:rPr>
        <w:t xml:space="preserve"> kW</w:t>
      </w:r>
      <w:r>
        <w:rPr>
          <w:rFonts w:eastAsia="Times New Roman" w:cstheme="minorHAnsi"/>
          <w:b/>
          <w:bCs/>
          <w:sz w:val="20"/>
          <w:szCs w:val="20"/>
          <w:lang w:eastAsia="cs-CZ"/>
        </w:rPr>
        <w:t xml:space="preserve">. </w:t>
      </w:r>
      <w:r w:rsidRPr="000C3125">
        <w:rPr>
          <w:rFonts w:eastAsia="Times New Roman" w:cstheme="minorHAnsi"/>
          <w:b/>
          <w:bCs/>
          <w:sz w:val="20"/>
          <w:szCs w:val="20"/>
          <w:lang w:eastAsia="cs-CZ"/>
        </w:rPr>
        <w:t>Hodnota nově instalovaného příkonu je požadována dle energetického posudku a nesmí být překročena.</w:t>
      </w:r>
    </w:p>
    <w:p w14:paraId="531AB083" w14:textId="711EDB05" w:rsidR="00726389" w:rsidRPr="00924E4C" w:rsidRDefault="00726389" w:rsidP="00726389">
      <w:pPr>
        <w:spacing w:after="0" w:line="360" w:lineRule="auto"/>
        <w:jc w:val="both"/>
        <w:rPr>
          <w:rFonts w:eastAsia="Times New Roman" w:cstheme="minorHAnsi"/>
          <w:sz w:val="20"/>
          <w:szCs w:val="20"/>
          <w:lang w:eastAsia="cs-CZ"/>
        </w:rPr>
      </w:pPr>
      <w:r w:rsidRPr="00924E4C">
        <w:rPr>
          <w:rFonts w:eastAsia="Times New Roman" w:cstheme="minorHAnsi"/>
          <w:sz w:val="20"/>
          <w:szCs w:val="20"/>
          <w:lang w:eastAsia="cs-CZ"/>
        </w:rPr>
        <w:t>Účastník vyplní prázdná žlutá políčka v příloze č.8 Specifikace svítidel. Po vyplnění instalovaných příkonů, které účastníkovi vyjdou z jednotlivých světelně technických výpočt</w:t>
      </w:r>
      <w:r>
        <w:rPr>
          <w:rFonts w:eastAsia="Times New Roman" w:cstheme="minorHAnsi"/>
          <w:sz w:val="20"/>
          <w:szCs w:val="20"/>
          <w:lang w:eastAsia="cs-CZ"/>
        </w:rPr>
        <w:t>ů</w:t>
      </w:r>
      <w:r w:rsidRPr="00924E4C">
        <w:rPr>
          <w:rFonts w:eastAsia="Times New Roman" w:cstheme="minorHAnsi"/>
          <w:sz w:val="20"/>
          <w:szCs w:val="20"/>
          <w:lang w:eastAsia="cs-CZ"/>
        </w:rPr>
        <w:t xml:space="preserve">, dojte k součtu celkového instalovaného příkonu. </w:t>
      </w:r>
    </w:p>
    <w:p w14:paraId="41F27877" w14:textId="77777777" w:rsidR="00726389" w:rsidRDefault="00726389" w:rsidP="00726389">
      <w:pPr>
        <w:pStyle w:val="Titulek"/>
        <w:spacing w:after="0"/>
        <w:rPr>
          <w:rFonts w:cstheme="minorHAnsi"/>
          <w:b/>
          <w:bCs/>
          <w:i w:val="0"/>
          <w:iCs w:val="0"/>
        </w:rPr>
      </w:pPr>
    </w:p>
    <w:p w14:paraId="3DFECA46" w14:textId="0E045622" w:rsidR="00726389" w:rsidRDefault="00726389" w:rsidP="00726389">
      <w:pPr>
        <w:jc w:val="both"/>
      </w:pPr>
      <w:r w:rsidRPr="000C3125">
        <w:rPr>
          <w:rFonts w:eastAsia="Times New Roman" w:cstheme="minorHAnsi"/>
          <w:sz w:val="20"/>
          <w:szCs w:val="20"/>
          <w:lang w:eastAsia="cs-CZ"/>
        </w:rPr>
        <w:t xml:space="preserve">V případě zkreslení jakýchkoli předaných technických informací bude účastník ze zadávacího řízení vyloučen bez nároku na odvolání, neboť by se jednalo o podvod. </w:t>
      </w:r>
      <w:bookmarkStart w:id="0" w:name="_Hlk505508696"/>
      <w:r w:rsidRPr="000C3125">
        <w:rPr>
          <w:rFonts w:eastAsia="Times New Roman" w:cstheme="minorHAnsi"/>
          <w:sz w:val="20"/>
          <w:szCs w:val="20"/>
          <w:lang w:eastAsia="cs-CZ"/>
        </w:rPr>
        <w:t xml:space="preserve">Účastník zadávacího řízení bere na vědomí, že výsledky </w:t>
      </w:r>
      <w:bookmarkEnd w:id="0"/>
      <w:r w:rsidRPr="000C3125">
        <w:rPr>
          <w:rFonts w:eastAsia="Times New Roman" w:cstheme="minorHAnsi"/>
          <w:sz w:val="20"/>
          <w:szCs w:val="20"/>
          <w:lang w:eastAsia="cs-CZ"/>
        </w:rPr>
        <w:lastRenderedPageBreak/>
        <w:t>světelně-technických výpočtů dle podkladu budou následně měřeny autorizovanou osobou vybranou zadavatelem.</w:t>
      </w:r>
    </w:p>
    <w:p w14:paraId="64FB5CA5" w14:textId="77777777" w:rsidR="00726389" w:rsidRDefault="00726389"/>
    <w:p w14:paraId="7DECA0C5" w14:textId="12F140BC" w:rsidR="00726389" w:rsidRDefault="00726389" w:rsidP="00726389">
      <w:pPr>
        <w:pStyle w:val="Titulek"/>
        <w:keepNext/>
      </w:pPr>
      <w:r>
        <w:t xml:space="preserve">Tabulka </w:t>
      </w:r>
      <w:fldSimple w:instr=" SEQ Tabulka \* ARABIC ">
        <w:r>
          <w:rPr>
            <w:noProof/>
          </w:rPr>
          <w:t>2</w:t>
        </w:r>
      </w:fldSimple>
      <w:r>
        <w:rPr>
          <w:noProof/>
        </w:rPr>
        <w:t xml:space="preserve"> - Harmonogram regulace</w:t>
      </w:r>
    </w:p>
    <w:tbl>
      <w:tblPr>
        <w:tblStyle w:val="Mkatabulky"/>
        <w:tblW w:w="5665" w:type="dxa"/>
        <w:tblLook w:val="04A0" w:firstRow="1" w:lastRow="0" w:firstColumn="1" w:lastColumn="0" w:noHBand="0" w:noVBand="1"/>
      </w:tblPr>
      <w:tblGrid>
        <w:gridCol w:w="2122"/>
        <w:gridCol w:w="3543"/>
      </w:tblGrid>
      <w:tr w:rsidR="00726389" w:rsidRPr="004442CB" w14:paraId="78922158" w14:textId="77777777" w:rsidTr="00F46C2E">
        <w:trPr>
          <w:trHeight w:val="283"/>
        </w:trPr>
        <w:tc>
          <w:tcPr>
            <w:tcW w:w="2122" w:type="dxa"/>
            <w:shd w:val="clear" w:color="auto" w:fill="D9D9D9" w:themeFill="background1" w:themeFillShade="D9"/>
            <w:noWrap/>
            <w:vAlign w:val="center"/>
          </w:tcPr>
          <w:p w14:paraId="3D35D16B" w14:textId="77777777" w:rsidR="00726389" w:rsidRPr="00E401D8" w:rsidRDefault="00726389" w:rsidP="00F46C2E">
            <w:pPr>
              <w:pStyle w:val="Bezmezer"/>
              <w:rPr>
                <w:rFonts w:eastAsia="Times New Roman"/>
                <w:b/>
                <w:bCs/>
                <w:sz w:val="18"/>
                <w:szCs w:val="18"/>
              </w:rPr>
            </w:pPr>
            <w:r w:rsidRPr="00E401D8">
              <w:rPr>
                <w:rFonts w:eastAsia="Times New Roman"/>
                <w:b/>
                <w:bCs/>
                <w:sz w:val="18"/>
                <w:szCs w:val="18"/>
              </w:rPr>
              <w:t>Intenzita</w:t>
            </w:r>
          </w:p>
        </w:tc>
        <w:tc>
          <w:tcPr>
            <w:tcW w:w="3543" w:type="dxa"/>
            <w:shd w:val="clear" w:color="auto" w:fill="D9D9D9" w:themeFill="background1" w:themeFillShade="D9"/>
            <w:noWrap/>
            <w:vAlign w:val="center"/>
          </w:tcPr>
          <w:p w14:paraId="54AFD52E" w14:textId="77777777" w:rsidR="00726389" w:rsidRPr="00E401D8" w:rsidRDefault="00726389" w:rsidP="00F46C2E">
            <w:pPr>
              <w:pStyle w:val="Bezmezer"/>
              <w:jc w:val="center"/>
              <w:rPr>
                <w:rFonts w:eastAsia="Times New Roman"/>
                <w:b/>
                <w:bCs/>
                <w:sz w:val="18"/>
                <w:szCs w:val="18"/>
              </w:rPr>
            </w:pPr>
            <w:r w:rsidRPr="00E401D8">
              <w:rPr>
                <w:rFonts w:eastAsia="Times New Roman"/>
                <w:b/>
                <w:bCs/>
                <w:sz w:val="18"/>
                <w:szCs w:val="18"/>
              </w:rPr>
              <w:t>Harmonogram regulace</w:t>
            </w:r>
          </w:p>
        </w:tc>
      </w:tr>
      <w:tr w:rsidR="00726389" w:rsidRPr="004442CB" w14:paraId="461245F6" w14:textId="77777777" w:rsidTr="00F46C2E">
        <w:trPr>
          <w:trHeight w:val="283"/>
        </w:trPr>
        <w:tc>
          <w:tcPr>
            <w:tcW w:w="2122" w:type="dxa"/>
            <w:noWrap/>
            <w:vAlign w:val="center"/>
          </w:tcPr>
          <w:p w14:paraId="191632CB" w14:textId="77777777" w:rsidR="00726389" w:rsidRPr="004442CB" w:rsidRDefault="00726389" w:rsidP="00F46C2E">
            <w:pPr>
              <w:pStyle w:val="Bezmezer"/>
              <w:rPr>
                <w:rFonts w:eastAsia="Times New Roman"/>
                <w:sz w:val="18"/>
                <w:szCs w:val="18"/>
              </w:rPr>
            </w:pPr>
            <w:proofErr w:type="gramStart"/>
            <w:r>
              <w:rPr>
                <w:rFonts w:eastAsia="Times New Roman"/>
                <w:sz w:val="18"/>
                <w:szCs w:val="18"/>
              </w:rPr>
              <w:t>100%</w:t>
            </w:r>
            <w:proofErr w:type="gramEnd"/>
          </w:p>
        </w:tc>
        <w:tc>
          <w:tcPr>
            <w:tcW w:w="3543" w:type="dxa"/>
            <w:noWrap/>
            <w:vAlign w:val="center"/>
          </w:tcPr>
          <w:p w14:paraId="03A7591C" w14:textId="77777777" w:rsidR="00726389" w:rsidRPr="004442CB" w:rsidRDefault="00726389" w:rsidP="00F46C2E">
            <w:pPr>
              <w:pStyle w:val="Bezmezer"/>
              <w:jc w:val="center"/>
              <w:rPr>
                <w:rFonts w:eastAsia="Times New Roman"/>
                <w:sz w:val="18"/>
                <w:szCs w:val="18"/>
              </w:rPr>
            </w:pPr>
            <w:r>
              <w:rPr>
                <w:rFonts w:eastAsia="Times New Roman"/>
                <w:sz w:val="18"/>
                <w:szCs w:val="18"/>
              </w:rPr>
              <w:t>Od zapnutí VO do 22:00</w:t>
            </w:r>
          </w:p>
        </w:tc>
      </w:tr>
      <w:tr w:rsidR="00726389" w:rsidRPr="004442CB" w14:paraId="032F5F77" w14:textId="77777777" w:rsidTr="00F46C2E">
        <w:trPr>
          <w:trHeight w:val="283"/>
        </w:trPr>
        <w:tc>
          <w:tcPr>
            <w:tcW w:w="2122" w:type="dxa"/>
            <w:noWrap/>
            <w:vAlign w:val="center"/>
          </w:tcPr>
          <w:p w14:paraId="4612D073" w14:textId="77777777" w:rsidR="00726389" w:rsidRPr="004442CB" w:rsidRDefault="00726389" w:rsidP="00F46C2E">
            <w:pPr>
              <w:pStyle w:val="Bezmezer"/>
              <w:rPr>
                <w:rFonts w:eastAsia="Times New Roman"/>
                <w:sz w:val="18"/>
                <w:szCs w:val="18"/>
              </w:rPr>
            </w:pPr>
            <w:proofErr w:type="gramStart"/>
            <w:r>
              <w:rPr>
                <w:rFonts w:eastAsia="Times New Roman"/>
                <w:sz w:val="18"/>
                <w:szCs w:val="18"/>
              </w:rPr>
              <w:t>60%</w:t>
            </w:r>
            <w:proofErr w:type="gramEnd"/>
          </w:p>
        </w:tc>
        <w:tc>
          <w:tcPr>
            <w:tcW w:w="3543" w:type="dxa"/>
            <w:noWrap/>
            <w:vAlign w:val="center"/>
          </w:tcPr>
          <w:p w14:paraId="5AD39CB3" w14:textId="77777777" w:rsidR="00726389" w:rsidRPr="004442CB" w:rsidRDefault="00726389" w:rsidP="00F46C2E">
            <w:pPr>
              <w:pStyle w:val="Bezmezer"/>
              <w:jc w:val="center"/>
              <w:rPr>
                <w:rFonts w:eastAsia="Times New Roman"/>
                <w:sz w:val="18"/>
                <w:szCs w:val="18"/>
              </w:rPr>
            </w:pPr>
            <w:r>
              <w:rPr>
                <w:rFonts w:eastAsia="Times New Roman"/>
                <w:sz w:val="18"/>
                <w:szCs w:val="18"/>
              </w:rPr>
              <w:t>Od 22:00 do 6:00</w:t>
            </w:r>
          </w:p>
        </w:tc>
      </w:tr>
      <w:tr w:rsidR="00726389" w:rsidRPr="004442CB" w14:paraId="2CBD10C9" w14:textId="77777777" w:rsidTr="00F46C2E">
        <w:trPr>
          <w:trHeight w:val="283"/>
        </w:trPr>
        <w:tc>
          <w:tcPr>
            <w:tcW w:w="2122" w:type="dxa"/>
            <w:noWrap/>
            <w:vAlign w:val="center"/>
          </w:tcPr>
          <w:p w14:paraId="4B6E02F0" w14:textId="77777777" w:rsidR="00726389" w:rsidRPr="004442CB" w:rsidRDefault="00726389" w:rsidP="00F46C2E">
            <w:pPr>
              <w:pStyle w:val="Bezmezer"/>
              <w:rPr>
                <w:rFonts w:eastAsia="Times New Roman"/>
                <w:sz w:val="18"/>
                <w:szCs w:val="18"/>
              </w:rPr>
            </w:pPr>
            <w:proofErr w:type="gramStart"/>
            <w:r>
              <w:rPr>
                <w:rFonts w:eastAsia="Times New Roman"/>
                <w:sz w:val="18"/>
                <w:szCs w:val="18"/>
              </w:rPr>
              <w:t>100%</w:t>
            </w:r>
            <w:proofErr w:type="gramEnd"/>
          </w:p>
        </w:tc>
        <w:tc>
          <w:tcPr>
            <w:tcW w:w="3543" w:type="dxa"/>
            <w:noWrap/>
            <w:vAlign w:val="center"/>
          </w:tcPr>
          <w:p w14:paraId="56739F8F" w14:textId="77777777" w:rsidR="00726389" w:rsidRPr="004442CB" w:rsidRDefault="00726389" w:rsidP="00F46C2E">
            <w:pPr>
              <w:pStyle w:val="Bezmezer"/>
              <w:jc w:val="center"/>
              <w:rPr>
                <w:rFonts w:eastAsia="Times New Roman"/>
                <w:sz w:val="18"/>
                <w:szCs w:val="18"/>
              </w:rPr>
            </w:pPr>
            <w:r>
              <w:rPr>
                <w:rFonts w:eastAsia="Times New Roman"/>
                <w:sz w:val="18"/>
                <w:szCs w:val="18"/>
              </w:rPr>
              <w:t>Od 6:00 do vypnutí VO</w:t>
            </w:r>
          </w:p>
        </w:tc>
      </w:tr>
    </w:tbl>
    <w:p w14:paraId="0FBBC15C" w14:textId="77777777" w:rsidR="00726389" w:rsidRDefault="00726389"/>
    <w:p w14:paraId="5BC9FF72" w14:textId="77777777" w:rsidR="00726389" w:rsidRDefault="00726389"/>
    <w:sectPr w:rsidR="00726389">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AC5B64" w14:textId="77777777" w:rsidR="0046351B" w:rsidRDefault="0046351B" w:rsidP="00437EB2">
      <w:pPr>
        <w:spacing w:after="0" w:line="240" w:lineRule="auto"/>
      </w:pPr>
      <w:r>
        <w:separator/>
      </w:r>
    </w:p>
  </w:endnote>
  <w:endnote w:type="continuationSeparator" w:id="0">
    <w:p w14:paraId="6E1F079A" w14:textId="77777777" w:rsidR="0046351B" w:rsidRDefault="0046351B" w:rsidP="00437E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ucida Console">
    <w:panose1 w:val="020B0609040504020204"/>
    <w:charset w:val="EE"/>
    <w:family w:val="modern"/>
    <w:pitch w:val="fixed"/>
    <w:sig w:usb0="8000028F" w:usb1="00001800" w:usb2="00000000" w:usb3="00000000" w:csb0="0000001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2552039"/>
      <w:docPartObj>
        <w:docPartGallery w:val="Page Numbers (Bottom of Page)"/>
        <w:docPartUnique/>
      </w:docPartObj>
    </w:sdtPr>
    <w:sdtContent>
      <w:sdt>
        <w:sdtPr>
          <w:id w:val="1728636285"/>
          <w:docPartObj>
            <w:docPartGallery w:val="Page Numbers (Top of Page)"/>
            <w:docPartUnique/>
          </w:docPartObj>
        </w:sdtPr>
        <w:sdtContent>
          <w:p w14:paraId="23B0B386" w14:textId="517E2377" w:rsidR="00437EB2" w:rsidRDefault="00437EB2">
            <w:pPr>
              <w:pStyle w:val="Zpat"/>
              <w:jc w:val="center"/>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06CFE687" w14:textId="77777777" w:rsidR="00437EB2" w:rsidRDefault="00437EB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7B793F" w14:textId="77777777" w:rsidR="0046351B" w:rsidRDefault="0046351B" w:rsidP="00437EB2">
      <w:pPr>
        <w:spacing w:after="0" w:line="240" w:lineRule="auto"/>
      </w:pPr>
      <w:r>
        <w:separator/>
      </w:r>
    </w:p>
  </w:footnote>
  <w:footnote w:type="continuationSeparator" w:id="0">
    <w:p w14:paraId="50ABA1DC" w14:textId="77777777" w:rsidR="0046351B" w:rsidRDefault="0046351B" w:rsidP="00437E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FAC04" w14:textId="5A89832E" w:rsidR="00BA6F5B" w:rsidRPr="00546EC6" w:rsidRDefault="00BA6F5B" w:rsidP="00BA6F5B">
    <w:pPr>
      <w:pStyle w:val="Zhlav"/>
      <w:jc w:val="right"/>
      <w:rPr>
        <w:sz w:val="20"/>
        <w:szCs w:val="20"/>
      </w:rPr>
    </w:pPr>
    <w:r w:rsidRPr="00546EC6">
      <w:rPr>
        <w:sz w:val="20"/>
        <w:szCs w:val="20"/>
      </w:rPr>
      <w:t>Příloha ZD č. 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5B3C71"/>
    <w:multiLevelType w:val="multilevel"/>
    <w:tmpl w:val="D3AE43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553785E"/>
    <w:multiLevelType w:val="hybridMultilevel"/>
    <w:tmpl w:val="2138A44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737B0BA2"/>
    <w:multiLevelType w:val="hybridMultilevel"/>
    <w:tmpl w:val="E40AFED4"/>
    <w:lvl w:ilvl="0" w:tplc="90B04472">
      <w:start w:val="1"/>
      <w:numFmt w:val="decimal"/>
      <w:lvlText w:val="%1."/>
      <w:lvlJc w:val="left"/>
      <w:pPr>
        <w:ind w:left="785" w:hanging="360"/>
      </w:pPr>
      <w:rPr>
        <w:rFonts w:asciiTheme="minorHAnsi" w:eastAsia="Times New Roman" w:hAnsiTheme="minorHAnsi" w:cstheme="minorHAnsi" w:hint="default"/>
        <w:color w:val="000000"/>
        <w:sz w:val="22"/>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75BC112B"/>
    <w:multiLevelType w:val="hybridMultilevel"/>
    <w:tmpl w:val="F77C146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1527400466">
    <w:abstractNumId w:val="1"/>
  </w:num>
  <w:num w:numId="2" w16cid:durableId="456335108">
    <w:abstractNumId w:val="2"/>
    <w:lvlOverride w:ilvl="0">
      <w:startOverride w:val="1"/>
    </w:lvlOverride>
    <w:lvlOverride w:ilvl="1"/>
    <w:lvlOverride w:ilvl="2"/>
    <w:lvlOverride w:ilvl="3"/>
    <w:lvlOverride w:ilvl="4"/>
    <w:lvlOverride w:ilvl="5"/>
    <w:lvlOverride w:ilvl="6"/>
    <w:lvlOverride w:ilvl="7"/>
    <w:lvlOverride w:ilvl="8"/>
  </w:num>
  <w:num w:numId="3" w16cid:durableId="3400868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209880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1ADA"/>
    <w:rsid w:val="00162BCD"/>
    <w:rsid w:val="00437EB2"/>
    <w:rsid w:val="00455D1A"/>
    <w:rsid w:val="0046351B"/>
    <w:rsid w:val="00546EC6"/>
    <w:rsid w:val="005D47BD"/>
    <w:rsid w:val="00647789"/>
    <w:rsid w:val="00726389"/>
    <w:rsid w:val="00764293"/>
    <w:rsid w:val="00801909"/>
    <w:rsid w:val="00BA6F5B"/>
    <w:rsid w:val="00D615C2"/>
    <w:rsid w:val="00F46DA7"/>
    <w:rsid w:val="00F71A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944F8"/>
  <w15:chartTrackingRefBased/>
  <w15:docId w15:val="{6F947193-C73B-4B77-953E-6AE011EAF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dlstyl">
    <w:name w:val="Oddíl [styl]"/>
    <w:basedOn w:val="Normln"/>
    <w:link w:val="OddlstylChar"/>
    <w:qFormat/>
    <w:rsid w:val="00D615C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Lines="60" w:line="240" w:lineRule="auto"/>
    </w:pPr>
    <w:rPr>
      <w:rFonts w:eastAsiaTheme="minorEastAsia"/>
      <w:b/>
      <w:noProof/>
      <w:kern w:val="0"/>
      <w:sz w:val="24"/>
      <w:u w:val="single"/>
      <w:lang w:eastAsia="cs-CZ"/>
      <w14:ligatures w14:val="none"/>
    </w:rPr>
  </w:style>
  <w:style w:type="character" w:customStyle="1" w:styleId="OddlstylChar">
    <w:name w:val="Oddíl [styl] Char"/>
    <w:basedOn w:val="Standardnpsmoodstavce"/>
    <w:link w:val="Oddlstyl"/>
    <w:rsid w:val="00D615C2"/>
    <w:rPr>
      <w:rFonts w:eastAsiaTheme="minorEastAsia"/>
      <w:b/>
      <w:noProof/>
      <w:kern w:val="0"/>
      <w:sz w:val="24"/>
      <w:u w:val="single"/>
      <w:lang w:eastAsia="cs-CZ"/>
      <w14:ligatures w14:val="none"/>
    </w:rPr>
  </w:style>
  <w:style w:type="paragraph" w:customStyle="1" w:styleId="Odstavecstyl">
    <w:name w:val="Odstavec  [styl]"/>
    <w:basedOn w:val="Normln"/>
    <w:link w:val="OdstavecstylChar"/>
    <w:qFormat/>
    <w:rsid w:val="00D61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pPr>
    <w:rPr>
      <w:rFonts w:ascii="Lucida Console" w:eastAsia="Times New Roman" w:hAnsi="Lucida Console" w:cs="Courier New"/>
      <w:kern w:val="0"/>
      <w:sz w:val="20"/>
      <w:szCs w:val="20"/>
      <w:lang w:eastAsia="cs-CZ"/>
      <w14:ligatures w14:val="none"/>
    </w:rPr>
  </w:style>
  <w:style w:type="character" w:customStyle="1" w:styleId="OdstavecstylChar">
    <w:name w:val="Odstavec  [styl] Char"/>
    <w:basedOn w:val="Standardnpsmoodstavce"/>
    <w:link w:val="Odstavecstyl"/>
    <w:rsid w:val="00D615C2"/>
    <w:rPr>
      <w:rFonts w:ascii="Lucida Console" w:eastAsia="Times New Roman" w:hAnsi="Lucida Console" w:cs="Courier New"/>
      <w:kern w:val="0"/>
      <w:sz w:val="20"/>
      <w:szCs w:val="20"/>
      <w:lang w:eastAsia="cs-CZ"/>
      <w14:ligatures w14:val="none"/>
    </w:rPr>
  </w:style>
  <w:style w:type="table" w:styleId="Mkatabulky">
    <w:name w:val="Table Grid"/>
    <w:basedOn w:val="Normlntabulka"/>
    <w:uiPriority w:val="59"/>
    <w:rsid w:val="00162BCD"/>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zhlav">
    <w:name w:val="Tab-záhlaví"/>
    <w:rsid w:val="00162BCD"/>
    <w:rPr>
      <w:b/>
      <w:sz w:val="18"/>
      <w:szCs w:val="18"/>
    </w:rPr>
  </w:style>
  <w:style w:type="paragraph" w:styleId="Titulek">
    <w:name w:val="caption"/>
    <w:basedOn w:val="Normln"/>
    <w:next w:val="Normln"/>
    <w:uiPriority w:val="35"/>
    <w:unhideWhenUsed/>
    <w:qFormat/>
    <w:rsid w:val="00162BCD"/>
    <w:pPr>
      <w:spacing w:after="200" w:line="240" w:lineRule="auto"/>
    </w:pPr>
    <w:rPr>
      <w:rFonts w:eastAsiaTheme="minorEastAsia"/>
      <w:i/>
      <w:iCs/>
      <w:color w:val="44546A" w:themeColor="text2"/>
      <w:kern w:val="0"/>
      <w:sz w:val="18"/>
      <w:szCs w:val="18"/>
      <w14:ligatures w14:val="none"/>
    </w:rPr>
  </w:style>
  <w:style w:type="paragraph" w:styleId="Normlnweb">
    <w:name w:val="Normal (Web)"/>
    <w:basedOn w:val="Normln"/>
    <w:uiPriority w:val="99"/>
    <w:semiHidden/>
    <w:unhideWhenUsed/>
    <w:rsid w:val="00726389"/>
    <w:pPr>
      <w:spacing w:before="100" w:beforeAutospacing="1" w:after="100" w:afterAutospacing="1" w:line="240" w:lineRule="auto"/>
    </w:pPr>
    <w:rPr>
      <w:rFonts w:ascii="Times New Roman" w:eastAsia="Times New Roman" w:hAnsi="Times New Roman" w:cs="Times New Roman"/>
      <w:kern w:val="0"/>
      <w:sz w:val="24"/>
      <w:szCs w:val="24"/>
      <w:lang w:eastAsia="cs-CZ"/>
      <w14:ligatures w14:val="none"/>
    </w:rPr>
  </w:style>
  <w:style w:type="paragraph" w:styleId="Bezmezer">
    <w:name w:val="No Spacing"/>
    <w:uiPriority w:val="1"/>
    <w:qFormat/>
    <w:rsid w:val="00726389"/>
    <w:pPr>
      <w:spacing w:after="0" w:line="240" w:lineRule="auto"/>
    </w:pPr>
    <w:rPr>
      <w:rFonts w:eastAsiaTheme="minorEastAsia"/>
      <w:kern w:val="0"/>
      <w:sz w:val="21"/>
      <w:szCs w:val="21"/>
      <w:lang w:eastAsia="cs-CZ"/>
      <w14:ligatures w14:val="none"/>
    </w:rPr>
  </w:style>
  <w:style w:type="paragraph" w:styleId="Zhlav">
    <w:name w:val="header"/>
    <w:basedOn w:val="Normln"/>
    <w:link w:val="ZhlavChar"/>
    <w:uiPriority w:val="99"/>
    <w:unhideWhenUsed/>
    <w:rsid w:val="00437EB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37EB2"/>
  </w:style>
  <w:style w:type="paragraph" w:styleId="Zpat">
    <w:name w:val="footer"/>
    <w:basedOn w:val="Normln"/>
    <w:link w:val="ZpatChar"/>
    <w:uiPriority w:val="99"/>
    <w:unhideWhenUsed/>
    <w:rsid w:val="00437EB2"/>
    <w:pPr>
      <w:tabs>
        <w:tab w:val="center" w:pos="4536"/>
        <w:tab w:val="right" w:pos="9072"/>
      </w:tabs>
      <w:spacing w:after="0" w:line="240" w:lineRule="auto"/>
    </w:pPr>
  </w:style>
  <w:style w:type="character" w:customStyle="1" w:styleId="ZpatChar">
    <w:name w:val="Zápatí Char"/>
    <w:basedOn w:val="Standardnpsmoodstavce"/>
    <w:link w:val="Zpat"/>
    <w:uiPriority w:val="99"/>
    <w:rsid w:val="00437E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5</Pages>
  <Words>1080</Words>
  <Characters>6373</Characters>
  <Application>Microsoft Office Word</Application>
  <DocSecurity>0</DocSecurity>
  <Lines>53</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Radek Žák</dc:creator>
  <cp:keywords/>
  <dc:description/>
  <cp:lastModifiedBy>Radek Žák</cp:lastModifiedBy>
  <cp:revision>10</cp:revision>
  <dcterms:created xsi:type="dcterms:W3CDTF">2023-11-08T07:40:00Z</dcterms:created>
  <dcterms:modified xsi:type="dcterms:W3CDTF">2023-11-08T10:15:00Z</dcterms:modified>
</cp:coreProperties>
</file>