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2580" w:leader="none"/>
          <w:tab w:val="left" w:pos="2985" w:leader="none"/>
          <w:tab w:val="center" w:pos="4536" w:leader="none"/>
        </w:tabs>
        <w:spacing w:before="0" w:after="12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říloha č. 2</w:t>
        <w:tab/>
        <w:tab/>
        <w:tab/>
        <w:tab/>
        <w:tab/>
        <w:tab/>
        <w:t xml:space="preserve">       </w:t>
      </w:r>
      <w:r>
        <w:rPr>
          <w:rFonts w:ascii="Calibri" w:hAnsi="Calibri" w:cs="Calibri" w:eastAsia="Calibri"/>
          <w:color w:val="1F497D"/>
          <w:spacing w:val="0"/>
          <w:position w:val="0"/>
          <w:sz w:val="24"/>
          <w:shd w:fill="auto" w:val="clear"/>
        </w:rPr>
        <w:t xml:space="preserve">Osvětlení komunikace Bukovany</w:t>
      </w:r>
    </w:p>
    <w:p>
      <w:pPr>
        <w:suppressAutoHyphens w:val="true"/>
        <w:spacing w:before="0" w:after="0" w:line="240"/>
        <w:ind w:right="0" w:left="576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</w:p>
    <w:p>
      <w:pPr>
        <w:suppressAutoHyphens w:val="true"/>
        <w:spacing w:before="0" w:after="0" w:line="240"/>
        <w:ind w:right="0" w:left="576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Čestné prohlášení</w:t>
      </w:r>
    </w:p>
    <w:p>
      <w:pPr>
        <w:suppressAutoHyphens w:val="true"/>
        <w:spacing w:before="0" w:after="28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o spln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ění základních kvalifikačních předpokladů</w:t>
      </w:r>
    </w:p>
    <w:p>
      <w:pPr>
        <w:suppressAutoHyphens w:val="true"/>
        <w:spacing w:before="0" w:after="28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dle § 53 zákona </w:t>
      </w:r>
      <w:r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  <w:t xml:space="preserve">č. 137/2006 Sb. o veřejných zakázkách, v platném znění (dále jen „zákon“)</w:t>
      </w:r>
    </w:p>
    <w:p>
      <w:pPr>
        <w:suppressAutoHyphens w:val="true"/>
        <w:spacing w:before="280" w:after="28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Uchaze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 prohlašuje, že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a) nebyl pravomocn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 odsouzen pro trestný čin spáchaný ve prospěch zločinného spolčení, trestný čin účasti na zločinném spolčení,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b) nebyl pravomocn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 odsouzen pro trestný čin, jehož skutková podstata souvisí s předmětem podnikání dodavatele podle zvláštních právních předpisů nebo došlo k zahlazení odsouzení za spáchání takového trestného činu,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c) nenaplnil skutkovou podstatu jednání nekalé sout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ěže formou podplácení podle zvláštního právního předpisu,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d) na jeho majetek není prohlášen konkurs nebo návrh na prohlášení konkursu nebyl zamítnut pro nedostatek majetku dodavatele nebo v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ůči němuž není povoleno vyrovnání nebo zavedena nucená správa podle zvláštních právních předpisů (například podle zákona č. 182/2006 Sb., insolvenčního zákona, ve znění pozdějších předpisů nebo podle zákona č. 21/1992 Sb., o bankách, ve znění pozdějších předpisů),</w:t>
      </w:r>
    </w:p>
    <w:p>
      <w:pPr>
        <w:suppressAutoHyphens w:val="true"/>
        <w:spacing w:before="12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e) není v likvidaci,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f) nemá v evidenci daní zachyceny da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ňové nedoplatky, a to jak v České republice, tak v zemi sídla, místa podnikání či bydliště dodavatele,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g) nemá nedoplatek na pojistném a na penále na ve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řejné zdravotní pojištění, a to jak v České republice, tak v zemi sídla, místa podnikání či bydliště dodavatele,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h) nemá nedoplatek na pojistném a na penále na sociální zabezpe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čení a příspěvku na státní politiku zaměstnanosti, a to jak v České republice, tak v zemi sídla, místa podnikání či bydliště dodavatele,</w:t>
      </w:r>
    </w:p>
    <w:p>
      <w:pPr>
        <w:suppressAutoHyphens w:val="true"/>
        <w:spacing w:before="12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i) nebyl v posledních 3 letech pravomocn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 disciplinárně potrestán či mu nebylo pravomocně uloženo kárné opatření podle zvláštních právních předpisů, je-li požadováno prokázání odborné způsobilosti podle zvláštních právních předpisů. </w:t>
      </w:r>
    </w:p>
    <w:p>
      <w:pPr>
        <w:suppressAutoHyphens w:val="true"/>
        <w:spacing w:before="12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Naše spole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čnost není vedena v rejstříku osob se zákazem plnění veřejných zakázek.</w:t>
      </w:r>
    </w:p>
    <w:p>
      <w:pPr>
        <w:suppressAutoHyphens w:val="true"/>
        <w:spacing w:before="12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6810" w:leader="none"/>
        </w:tabs>
        <w:suppressAutoHyphens w:val="true"/>
        <w:spacing w:before="12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6810" w:leader="none"/>
        </w:tabs>
        <w:suppressAutoHyphens w:val="true"/>
        <w:spacing w:before="12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6810" w:leader="none"/>
        </w:tabs>
        <w:suppressAutoHyphens w:val="true"/>
        <w:spacing w:before="12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________________________________</w:t>
      </w:r>
    </w:p>
    <w:p>
      <w:pPr>
        <w:tabs>
          <w:tab w:val="center" w:pos="6780" w:leader="none"/>
        </w:tabs>
        <w:suppressAutoHyphens w:val="true"/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razítko, jméno a podpis</w:t>
      </w:r>
    </w:p>
    <w:p>
      <w:pPr>
        <w:tabs>
          <w:tab w:val="center" w:pos="6810" w:leader="none"/>
        </w:tabs>
        <w:suppressAutoHyphens w:val="true"/>
        <w:spacing w:before="0" w:after="0" w:line="240"/>
        <w:ind w:right="0" w:left="-1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statutárního nebo zmocn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ěného zástupce</w:t>
      </w:r>
    </w:p>
    <w:p>
      <w:pPr>
        <w:suppressAutoHyphens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