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1B58" w14:textId="174F9C4C" w:rsidR="00AF4C64" w:rsidRPr="00AF4C64" w:rsidRDefault="001519BB" w:rsidP="00AF4C64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34">
              <w:t xml:space="preserve">Veřejná zakázka malého rozsahu na </w:t>
            </w:r>
            <w:r w:rsidR="008F2D62">
              <w:t>dodávku</w:t>
            </w:r>
            <w:r w:rsidRPr="00B05434">
              <w:t xml:space="preserve"> s názvem </w:t>
            </w:r>
            <w:r w:rsidR="00AF4C64">
              <w:t>„</w:t>
            </w:r>
            <w:r w:rsidR="00AF4C64" w:rsidRPr="00AF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Instalace</w:t>
            </w:r>
            <w:r w:rsidR="00AF4C64" w:rsidRPr="00AF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fotovoltaické elektrárny na budově </w:t>
            </w:r>
            <w:proofErr w:type="spellStart"/>
            <w:r w:rsidR="00AF4C64" w:rsidRPr="00AF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MěÚ</w:t>
            </w:r>
            <w:proofErr w:type="spellEnd"/>
            <w:r w:rsidR="00AF4C64" w:rsidRPr="00AF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Nové Sedlo</w:t>
            </w:r>
          </w:p>
          <w:p w14:paraId="5C993FB8" w14:textId="0F3ED55D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1519BB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7560B1"/>
    <w:rsid w:val="00795753"/>
    <w:rsid w:val="007E0ED6"/>
    <w:rsid w:val="008F2D62"/>
    <w:rsid w:val="00AF4C64"/>
    <w:rsid w:val="00B05434"/>
    <w:rsid w:val="00B71CE0"/>
    <w:rsid w:val="00C16894"/>
    <w:rsid w:val="00C22DE6"/>
    <w:rsid w:val="00D740F7"/>
    <w:rsid w:val="00E14164"/>
    <w:rsid w:val="00EE27FA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13</cp:revision>
  <dcterms:created xsi:type="dcterms:W3CDTF">2024-08-18T08:06:00Z</dcterms:created>
  <dcterms:modified xsi:type="dcterms:W3CDTF">2025-02-20T10:03:00Z</dcterms:modified>
</cp:coreProperties>
</file>