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09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56"/>
      </w:tblGrid>
      <w:tr w:rsidR="00A037FF" w:rsidRPr="00E2422C" w14:paraId="4D089E1E" w14:textId="77777777" w:rsidTr="00E2422C">
        <w:trPr>
          <w:trHeight w:val="414"/>
        </w:trPr>
        <w:tc>
          <w:tcPr>
            <w:tcW w:w="20956" w:type="dxa"/>
            <w:shd w:val="clear" w:color="auto" w:fill="FFFFFF" w:themeFill="background1"/>
            <w:noWrap/>
          </w:tcPr>
          <w:p w14:paraId="4387D524" w14:textId="5D027E22" w:rsidR="00A037FF" w:rsidRPr="00E2422C" w:rsidRDefault="00A037FF" w:rsidP="00A037F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>Zkušenost</w:t>
            </w:r>
            <w:r w:rsidR="00C05AA2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HIP</w:t>
            </w:r>
            <w:r w:rsidR="00C05A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(váha kritéria – </w:t>
            </w:r>
            <w:r w:rsidR="00A079A6" w:rsidRPr="00A079A6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%)</w:t>
            </w:r>
          </w:p>
        </w:tc>
      </w:tr>
    </w:tbl>
    <w:p w14:paraId="60C3AFBF" w14:textId="221D4DC8" w:rsidR="00F72CBA" w:rsidRPr="009B6BF0" w:rsidRDefault="00A037FF" w:rsidP="009B6B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6BF0">
        <w:rPr>
          <w:rFonts w:ascii="Times New Roman" w:hAnsi="Times New Roman" w:cs="Times New Roman"/>
        </w:rPr>
        <w:t xml:space="preserve"> </w:t>
      </w:r>
      <w:r w:rsidR="00F72CBA" w:rsidRPr="009B6BF0">
        <w:rPr>
          <w:rFonts w:ascii="Times New Roman" w:hAnsi="Times New Roman" w:cs="Times New Roman"/>
        </w:rPr>
        <w:t>(údaje pro hodnocení nabídky ve</w:t>
      </w:r>
      <w:r w:rsidR="000A2931">
        <w:rPr>
          <w:rFonts w:ascii="Times New Roman" w:hAnsi="Times New Roman" w:cs="Times New Roman"/>
        </w:rPr>
        <w:t xml:space="preserve"> </w:t>
      </w:r>
      <w:r w:rsidR="00A54698">
        <w:rPr>
          <w:rFonts w:ascii="Times New Roman" w:hAnsi="Times New Roman" w:cs="Times New Roman"/>
        </w:rPr>
        <w:t>2</w:t>
      </w:r>
      <w:r w:rsidR="00F72CBA" w:rsidRPr="009B6BF0">
        <w:rPr>
          <w:rFonts w:ascii="Times New Roman" w:hAnsi="Times New Roman" w:cs="Times New Roman"/>
        </w:rPr>
        <w:t xml:space="preserve">. kritériu) </w:t>
      </w:r>
    </w:p>
    <w:p w14:paraId="041A573E" w14:textId="77777777" w:rsidR="00F64A86" w:rsidRPr="00F64A86" w:rsidRDefault="00F64A86" w:rsidP="00F64A86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A86">
        <w:rPr>
          <w:rFonts w:ascii="Times New Roman" w:hAnsi="Times New Roman" w:cs="Times New Roman"/>
          <w:b/>
          <w:sz w:val="28"/>
          <w:szCs w:val="28"/>
        </w:rPr>
        <w:t xml:space="preserve">Obecní dům v Dolních </w:t>
      </w:r>
      <w:proofErr w:type="gramStart"/>
      <w:r w:rsidRPr="00F64A86">
        <w:rPr>
          <w:rFonts w:ascii="Times New Roman" w:hAnsi="Times New Roman" w:cs="Times New Roman"/>
          <w:b/>
          <w:sz w:val="28"/>
          <w:szCs w:val="28"/>
        </w:rPr>
        <w:t>Nivách - projektová</w:t>
      </w:r>
      <w:proofErr w:type="gramEnd"/>
      <w:r w:rsidRPr="00F64A86">
        <w:rPr>
          <w:rFonts w:ascii="Times New Roman" w:hAnsi="Times New Roman" w:cs="Times New Roman"/>
          <w:b/>
          <w:sz w:val="28"/>
          <w:szCs w:val="28"/>
        </w:rPr>
        <w:t xml:space="preserve"> dokumentace</w:t>
      </w:r>
    </w:p>
    <w:p w14:paraId="47528CD8" w14:textId="727201E3" w:rsidR="009B6BF0" w:rsidRDefault="00F72CBA" w:rsidP="00B979AB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B6BF0">
        <w:rPr>
          <w:rFonts w:ascii="Times New Roman" w:hAnsi="Times New Roman" w:cs="Times New Roman"/>
        </w:rPr>
        <w:t>Do tabulky níže uvede účastník zadávacího řízení referenční zakázky, které realizoval člen realizačníh</w:t>
      </w:r>
      <w:r w:rsidR="009B6BF0" w:rsidRPr="009B6BF0">
        <w:rPr>
          <w:rFonts w:ascii="Times New Roman" w:hAnsi="Times New Roman" w:cs="Times New Roman"/>
        </w:rPr>
        <w:t>o týmu navrhovaný na pozici HIP</w:t>
      </w:r>
      <w:r w:rsidR="000A2931">
        <w:rPr>
          <w:rFonts w:ascii="Times New Roman" w:hAnsi="Times New Roman" w:cs="Times New Roman"/>
        </w:rPr>
        <w:t xml:space="preserve"> a které na této pozici vykonával</w:t>
      </w:r>
      <w:r w:rsidR="00B511BE">
        <w:rPr>
          <w:rFonts w:ascii="Times New Roman" w:hAnsi="Times New Roman" w:cs="Times New Roman"/>
        </w:rPr>
        <w:t xml:space="preserve"> </w:t>
      </w:r>
      <w:r w:rsidR="00562574">
        <w:rPr>
          <w:rFonts w:ascii="Times New Roman" w:hAnsi="Times New Roman" w:cs="Times New Roman"/>
        </w:rPr>
        <w:t>dle specifikace uvedené ve</w:t>
      </w:r>
      <w:r w:rsidR="00B511BE">
        <w:rPr>
          <w:rFonts w:ascii="Times New Roman" w:hAnsi="Times New Roman" w:cs="Times New Roman"/>
        </w:rPr>
        <w:t xml:space="preserve"> výzv</w:t>
      </w:r>
      <w:r w:rsidR="00562574">
        <w:rPr>
          <w:rFonts w:ascii="Times New Roman" w:hAnsi="Times New Roman" w:cs="Times New Roman"/>
        </w:rPr>
        <w:t>ě</w:t>
      </w:r>
      <w:r w:rsidR="00C118FD">
        <w:rPr>
          <w:rFonts w:ascii="Times New Roman" w:hAnsi="Times New Roman" w:cs="Times New Roman"/>
        </w:rPr>
        <w:t>.</w:t>
      </w:r>
      <w:r w:rsidRPr="009B6BF0">
        <w:rPr>
          <w:rFonts w:ascii="Times New Roman" w:hAnsi="Times New Roman" w:cs="Times New Roman"/>
        </w:rPr>
        <w:t xml:space="preserve"> </w:t>
      </w:r>
      <w:bookmarkStart w:id="0" w:name="_Hlk129945919"/>
    </w:p>
    <w:tbl>
      <w:tblPr>
        <w:tblW w:w="209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56"/>
      </w:tblGrid>
      <w:tr w:rsidR="007E7079" w:rsidRPr="00A037FF" w14:paraId="722ADB0B" w14:textId="34054F2B" w:rsidTr="004F69CB">
        <w:trPr>
          <w:trHeight w:val="270"/>
        </w:trPr>
        <w:tc>
          <w:tcPr>
            <w:tcW w:w="20956" w:type="dxa"/>
            <w:noWrap/>
            <w:vAlign w:val="center"/>
            <w:hideMark/>
          </w:tcPr>
          <w:p w14:paraId="6FA76167" w14:textId="77777777" w:rsidR="007E7079" w:rsidRDefault="007E7079" w:rsidP="007E7079">
            <w:pPr>
              <w:shd w:val="clear" w:color="auto" w:fill="FFF2CC" w:themeFill="accent4" w:themeFillTint="33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F5DF1">
              <w:rPr>
                <w:rFonts w:ascii="Times New Roman" w:hAnsi="Times New Roman" w:cs="Times New Roman"/>
                <w:b/>
                <w:bCs/>
              </w:rPr>
              <w:t xml:space="preserve">Dodavatel/Účastník: </w:t>
            </w:r>
          </w:p>
          <w:p w14:paraId="570C1C98" w14:textId="262E9D0C" w:rsidR="00BA531B" w:rsidRPr="003F5DF1" w:rsidRDefault="00BA531B" w:rsidP="007E7079">
            <w:pPr>
              <w:shd w:val="clear" w:color="auto" w:fill="FFF2CC" w:themeFill="accent4" w:themeFillTint="33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E7079" w:rsidRPr="00A037FF" w14:paraId="76923E29" w14:textId="77777777" w:rsidTr="004F69CB">
        <w:trPr>
          <w:trHeight w:val="270"/>
        </w:trPr>
        <w:tc>
          <w:tcPr>
            <w:tcW w:w="20956" w:type="dxa"/>
            <w:noWrap/>
            <w:vAlign w:val="center"/>
          </w:tcPr>
          <w:p w14:paraId="48883D9C" w14:textId="77777777" w:rsidR="007E7079" w:rsidRDefault="007E7079" w:rsidP="007E7079">
            <w:pPr>
              <w:shd w:val="clear" w:color="auto" w:fill="FFF2CC" w:themeFill="accent4" w:themeFillTint="33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F5DF1">
              <w:rPr>
                <w:rFonts w:ascii="Times New Roman" w:hAnsi="Times New Roman" w:cs="Times New Roman"/>
                <w:b/>
                <w:bCs/>
              </w:rPr>
              <w:t xml:space="preserve">Jméno a příjmení HIP: </w:t>
            </w:r>
          </w:p>
          <w:p w14:paraId="02C89509" w14:textId="0FBF3DBA" w:rsidR="00BA531B" w:rsidRPr="003F5DF1" w:rsidRDefault="00BA531B" w:rsidP="007E7079">
            <w:pPr>
              <w:shd w:val="clear" w:color="auto" w:fill="FFF2CC" w:themeFill="accent4" w:themeFillTint="33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A523F3C" w14:textId="77777777" w:rsidR="00A037FF" w:rsidRPr="00DB477D" w:rsidRDefault="00A037FF" w:rsidP="00B979AB">
      <w:pPr>
        <w:spacing w:after="120" w:line="240" w:lineRule="auto"/>
        <w:jc w:val="both"/>
        <w:rPr>
          <w:rFonts w:ascii="Times New Roman" w:hAnsi="Times New Roman" w:cs="Times New Roman"/>
        </w:rPr>
      </w:pPr>
    </w:p>
    <w:tbl>
      <w:tblPr>
        <w:tblW w:w="2096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"/>
        <w:gridCol w:w="3503"/>
        <w:gridCol w:w="1275"/>
        <w:gridCol w:w="2410"/>
        <w:gridCol w:w="1276"/>
        <w:gridCol w:w="1276"/>
        <w:gridCol w:w="708"/>
        <w:gridCol w:w="709"/>
        <w:gridCol w:w="709"/>
        <w:gridCol w:w="1984"/>
        <w:gridCol w:w="4253"/>
        <w:gridCol w:w="1984"/>
      </w:tblGrid>
      <w:tr w:rsidR="000A2931" w:rsidRPr="00E2422C" w14:paraId="0664F9CD" w14:textId="23E4BC86" w:rsidTr="003D00AC">
        <w:trPr>
          <w:trHeight w:val="1444"/>
        </w:trPr>
        <w:tc>
          <w:tcPr>
            <w:tcW w:w="8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bookmarkEnd w:id="0"/>
          <w:p w14:paraId="44F21821" w14:textId="77777777" w:rsidR="000A2931" w:rsidRPr="00E2422C" w:rsidRDefault="000A2931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poř. č.</w:t>
            </w:r>
          </w:p>
        </w:tc>
        <w:tc>
          <w:tcPr>
            <w:tcW w:w="35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169485C7" w14:textId="7EB30D57" w:rsidR="000A2931" w:rsidRPr="00E2422C" w:rsidRDefault="003D00AC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</w:t>
            </w:r>
            <w:r w:rsidR="000A2931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ázev </w:t>
            </w:r>
            <w:r w:rsidR="001214AF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a popis </w:t>
            </w:r>
            <w:r w:rsidR="000A2931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zakázky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CEA53" w14:textId="2F09D422" w:rsidR="000A2931" w:rsidRPr="00E2422C" w:rsidRDefault="003D00AC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</w:t>
            </w:r>
            <w:r w:rsidR="000A2931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okončení realizace zakázky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E4234AD" w14:textId="6B784B10" w:rsidR="000A2931" w:rsidRPr="00E2422C" w:rsidRDefault="003D00AC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</w:t>
            </w:r>
            <w:r w:rsidR="000A2931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bjednatel (název subjektu) / </w:t>
            </w:r>
          </w:p>
          <w:p w14:paraId="6816537B" w14:textId="6CC78CF7" w:rsidR="000A2931" w:rsidRPr="00E2422C" w:rsidRDefault="00647FF8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kontaktní osoba (jméno a </w:t>
            </w:r>
            <w:r w:rsidR="000A2931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e-mail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)</w:t>
            </w:r>
          </w:p>
        </w:tc>
        <w:tc>
          <w:tcPr>
            <w:tcW w:w="4678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B406" w14:textId="59D7CB38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658FFEB0" w14:textId="77777777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437F20BE" w14:textId="77777777" w:rsidR="00F94D6C" w:rsidRDefault="00F94D6C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568D45C8" w14:textId="77777777" w:rsidR="00F94D6C" w:rsidRDefault="00F94D6C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3B8D9403" w14:textId="7F17FE8C" w:rsidR="000A2931" w:rsidRPr="00E2422C" w:rsidRDefault="003D00AC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I</w:t>
            </w:r>
            <w:r w:rsidR="000A2931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nformace o referenční zakázce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3E26D8DA" w14:textId="77777777" w:rsidR="000A2931" w:rsidRPr="00E2422C" w:rsidRDefault="000A2931" w:rsidP="00595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63A5097B" w14:textId="5D67C9F6" w:rsidR="000A2931" w:rsidRPr="00E2422C" w:rsidRDefault="003D00AC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</w:t>
            </w:r>
            <w:r w:rsidR="000A2931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ázev pozice, na které působil u dané referenční zakázky HIP</w:t>
            </w:r>
          </w:p>
          <w:p w14:paraId="41741A5F" w14:textId="1A1CA432" w:rsidR="000A2931" w:rsidRPr="00E2422C" w:rsidRDefault="000A2931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</w:p>
        </w:tc>
        <w:tc>
          <w:tcPr>
            <w:tcW w:w="425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00147173" w14:textId="77777777" w:rsidR="00B511BE" w:rsidRPr="00E2422C" w:rsidRDefault="00B511BE" w:rsidP="00B5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788184A8" w14:textId="4CF61A72" w:rsidR="00B511BE" w:rsidRPr="00E2422C" w:rsidRDefault="003D00AC" w:rsidP="00B5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</w:t>
            </w:r>
            <w:r w:rsidR="00B511BE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oložení referenční zakázky –</w:t>
            </w:r>
          </w:p>
          <w:p w14:paraId="7D35C788" w14:textId="19E4C2A4" w:rsidR="000A2931" w:rsidRPr="00A54698" w:rsidRDefault="00B511BE" w:rsidP="00A5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soupis dokladů doložených k referenční zakázce v</w:t>
            </w:r>
            <w:r w:rsidR="00E2422C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nabídce</w:t>
            </w:r>
            <w:r w:rsidR="00E2422C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  <w:r w:rsidR="00E2422C" w:rsidRPr="00E2422C"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  <w:t xml:space="preserve">[tzn. </w:t>
            </w:r>
            <w:r w:rsidR="00A54698"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  <w:t xml:space="preserve">osvědčení, </w:t>
            </w:r>
            <w:r w:rsidR="00A54698" w:rsidRPr="00A54698"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  <w:t xml:space="preserve">smlouva s objednatelem, doklad o předání a převzetí realizovaného plnění, rozpočet z dokumentace pro provádění stavby, průvodní zpráva, popř. části projektové dokumentace </w:t>
            </w:r>
            <w:proofErr w:type="gramStart"/>
            <w:r w:rsidR="00A54698" w:rsidRPr="00A54698"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  <w:t>atp.]</w:t>
            </w:r>
            <w:r w:rsidR="00704E24"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  <w:t>*</w:t>
            </w:r>
            <w:proofErr w:type="gramEnd"/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01264209" w14:textId="47149F73" w:rsidR="000A2931" w:rsidRPr="00E2422C" w:rsidRDefault="000A2931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64BDA6CC" w14:textId="6C4CBBBB" w:rsidR="000A2931" w:rsidRPr="00E2422C" w:rsidRDefault="003D00AC" w:rsidP="00B5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U</w:t>
            </w:r>
            <w:r w:rsidR="000A2931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vést identifikaci zaměstnavatele</w:t>
            </w:r>
          </w:p>
          <w:p w14:paraId="76D441A8" w14:textId="77777777" w:rsidR="000A2931" w:rsidRPr="00E2422C" w:rsidRDefault="000A2931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(název a IČO), </w:t>
            </w:r>
          </w:p>
          <w:p w14:paraId="192131AE" w14:textId="341A7A58" w:rsidR="000A2931" w:rsidRPr="00E2422C" w:rsidRDefault="000A2931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pro kterého HIP v době této referenční zakázky působil</w:t>
            </w:r>
          </w:p>
        </w:tc>
      </w:tr>
      <w:tr w:rsidR="000A2931" w:rsidRPr="00E2422C" w14:paraId="70FF37D7" w14:textId="297BA140" w:rsidTr="003D00AC">
        <w:trPr>
          <w:trHeight w:val="825"/>
        </w:trPr>
        <w:tc>
          <w:tcPr>
            <w:tcW w:w="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CFE3A5" w14:textId="77777777" w:rsidR="000A2931" w:rsidRPr="00E2422C" w:rsidRDefault="000A2931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5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5D174B" w14:textId="77777777" w:rsidR="000A2931" w:rsidRPr="00E2422C" w:rsidRDefault="000A2931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00B2A6" w14:textId="7EE78443" w:rsidR="000A2931" w:rsidRPr="00E2422C" w:rsidRDefault="00032F84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</w:t>
            </w:r>
            <w:r w:rsidR="000A2931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ředání kompletní dokumentace</w:t>
            </w:r>
          </w:p>
          <w:p w14:paraId="17047F64" w14:textId="6345F624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Cs/>
                <w:lang w:eastAsia="cs-CZ"/>
              </w:rPr>
              <w:t>(m/rok)</w:t>
            </w: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97D727" w14:textId="77777777" w:rsidR="000A2931" w:rsidRPr="00E2422C" w:rsidRDefault="000A2931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14:paraId="624BA772" w14:textId="1D70D2BC" w:rsidR="00852C08" w:rsidRPr="00E2422C" w:rsidRDefault="001214AF" w:rsidP="0085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Pozemní stavba</w:t>
            </w:r>
          </w:p>
          <w:p w14:paraId="3625B302" w14:textId="1A01F459" w:rsidR="000A2931" w:rsidRPr="00E2422C" w:rsidRDefault="00D50FF0" w:rsidP="00FE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cs-CZ"/>
              </w:rPr>
              <w:t>ANO/NE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0783485B" w14:textId="26FE8D5D" w:rsidR="000A2931" w:rsidRPr="00E2422C" w:rsidRDefault="003D00AC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</w:t>
            </w:r>
            <w:r w:rsidR="000A2931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ealizační hodnota</w:t>
            </w:r>
          </w:p>
          <w:p w14:paraId="5F512446" w14:textId="2D7B081A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v Kč </w:t>
            </w:r>
            <w:r w:rsidR="00F64A8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včetně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DPH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05529" w14:textId="77777777" w:rsidR="000A2931" w:rsidRPr="00E2422C" w:rsidRDefault="000A2931" w:rsidP="00FE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23366FC9" w14:textId="285E9755" w:rsidR="000A2931" w:rsidRPr="00E2422C" w:rsidRDefault="003D00AC" w:rsidP="00FE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</w:t>
            </w:r>
            <w:r w:rsidR="000A2931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okončené stupně PD </w:t>
            </w:r>
          </w:p>
          <w:p w14:paraId="46E97562" w14:textId="244FC49D" w:rsidR="000A2931" w:rsidRPr="00E2422C" w:rsidRDefault="000A2931" w:rsidP="00FE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  <w:t>ANO/NE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E88E4A" w14:textId="173452FD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333F801" w14:textId="70CBEF4E" w:rsidR="000A2931" w:rsidRPr="00E2422C" w:rsidRDefault="000A2931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8" w:space="0" w:color="auto"/>
            </w:tcBorders>
            <w:textDirection w:val="btLr"/>
          </w:tcPr>
          <w:p w14:paraId="06E5E135" w14:textId="1334948F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0A2931" w:rsidRPr="00E2422C" w14:paraId="795E868C" w14:textId="3BFD5046" w:rsidTr="003D00AC">
        <w:trPr>
          <w:trHeight w:val="955"/>
        </w:trPr>
        <w:tc>
          <w:tcPr>
            <w:tcW w:w="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0E3868" w14:textId="77777777" w:rsidR="000A2931" w:rsidRPr="00E2422C" w:rsidRDefault="000A2931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5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96A6A6" w14:textId="77777777" w:rsidR="000A2931" w:rsidRPr="00E2422C" w:rsidRDefault="000A2931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D32ABD2" w14:textId="77777777" w:rsidR="000A2931" w:rsidRPr="00E2422C" w:rsidRDefault="000A2931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BF6807D" w14:textId="77777777" w:rsidR="000A2931" w:rsidRPr="00E2422C" w:rsidRDefault="000A2931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AC1626" w14:textId="77777777" w:rsidR="000A2931" w:rsidRPr="00E2422C" w:rsidRDefault="000A2931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DA885F" w14:textId="77777777" w:rsidR="000A2931" w:rsidRPr="00E2422C" w:rsidRDefault="000A2931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14:paraId="1AD52D17" w14:textId="77777777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39FE6079" w14:textId="46613904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DSP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8AE72D0" w14:textId="187CB70B" w:rsidR="000A2931" w:rsidRPr="00E2422C" w:rsidRDefault="000A2931" w:rsidP="00B97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DUSP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776848" w14:textId="77777777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DPS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91C421" w14:textId="2CFA0D81" w:rsidR="000A2931" w:rsidRPr="00E2422C" w:rsidRDefault="000A2931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B7EBD58" w14:textId="77777777" w:rsidR="000A2931" w:rsidRPr="00E2422C" w:rsidRDefault="000A2931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7FFD52BC" w14:textId="5BBE3832" w:rsidR="000A2931" w:rsidRPr="00E2422C" w:rsidRDefault="000A2931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E2422C" w:rsidRPr="00E2422C" w14:paraId="44B68E31" w14:textId="345BF72D" w:rsidTr="003D00AC">
        <w:trPr>
          <w:cantSplit/>
          <w:trHeight w:val="799"/>
        </w:trPr>
        <w:tc>
          <w:tcPr>
            <w:tcW w:w="882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5C9AE7" w14:textId="2C74D190" w:rsidR="000A2931" w:rsidRPr="00E2422C" w:rsidRDefault="00025ECE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F75A846" w14:textId="77777777" w:rsidR="000A2931" w:rsidRDefault="000A2931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47F7EDEA" w14:textId="77777777" w:rsidR="00F64A86" w:rsidRDefault="00F64A86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7452CBC3" w14:textId="77777777" w:rsidR="00F64A86" w:rsidRDefault="00F64A86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0DAF5515" w14:textId="155837E3" w:rsidR="00F64A86" w:rsidRPr="00E2422C" w:rsidRDefault="00F64A86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376A65F" w14:textId="7FFFD9EC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59D9646D" w14:textId="22A3C66C" w:rsidR="000A2931" w:rsidRPr="00E2422C" w:rsidRDefault="000A2931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3EE823E" w14:textId="55C28637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007336D" w14:textId="71E4133A" w:rsidR="000A2931" w:rsidRPr="00E2422C" w:rsidRDefault="000A2931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3539DC7" w14:textId="23C9057B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5F4CD18F" w14:textId="7DAAFD6C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2110499F" w14:textId="074F0622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7B41F14" w14:textId="70FF2583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6F21B33" w14:textId="486F4D8E" w:rsidR="004F69CB" w:rsidRPr="00E2422C" w:rsidRDefault="004F69CB" w:rsidP="004F6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47263D02" w14:textId="430F990D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E2422C" w:rsidRPr="00E2422C" w14:paraId="68BC96B2" w14:textId="20FF5064" w:rsidTr="003D00AC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79D401" w14:textId="47C8EFBF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2.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71A6FCF" w14:textId="77777777" w:rsidR="000A2931" w:rsidRDefault="000A2931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01ECC7ED" w14:textId="77777777" w:rsidR="00F64A86" w:rsidRDefault="00F64A86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6EEBEFD7" w14:textId="77777777" w:rsidR="00F64A86" w:rsidRDefault="00F64A86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1EC6FAEA" w14:textId="77777777" w:rsidR="00F64A86" w:rsidRPr="00E2422C" w:rsidRDefault="00F64A86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AE1F343" w14:textId="77777777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393E1779" w14:textId="77777777" w:rsidR="000A2931" w:rsidRPr="00E2422C" w:rsidRDefault="000A2931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E175766" w14:textId="77777777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080A0C0" w14:textId="77777777" w:rsidR="000A2931" w:rsidRPr="00E2422C" w:rsidRDefault="000A2931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49C2539" w14:textId="4D883BAA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61A39E2B" w14:textId="39D8936A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5CF7CF35" w14:textId="77777777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13EA2C0" w14:textId="77777777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6C470354" w14:textId="7A67F568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0082632" w14:textId="77777777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7DBBDDEC" w14:textId="110A37B7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E2422C" w:rsidRPr="00E2422C" w14:paraId="6E209FBA" w14:textId="2B3D9F85" w:rsidTr="003D00AC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EE2061" w14:textId="02A2603C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3.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8738778" w14:textId="77777777" w:rsidR="000A2931" w:rsidRDefault="000A2931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4B4122AF" w14:textId="77777777" w:rsidR="00F64A86" w:rsidRDefault="00F64A86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4E0B1C71" w14:textId="77777777" w:rsidR="00F64A86" w:rsidRDefault="00F64A86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3B5CEA6D" w14:textId="77777777" w:rsidR="00F64A86" w:rsidRPr="00E2422C" w:rsidRDefault="00F64A86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48FA58D" w14:textId="77777777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65CED847" w14:textId="77777777" w:rsidR="000A2931" w:rsidRPr="00E2422C" w:rsidRDefault="000A2931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B4C15A0" w14:textId="77777777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0E6824D" w14:textId="77777777" w:rsidR="000A2931" w:rsidRPr="00E2422C" w:rsidRDefault="000A2931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F3ED251" w14:textId="23233F85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6621A261" w14:textId="354CD2C6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335F5E59" w14:textId="77777777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ADE4E20" w14:textId="77777777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33BEED08" w14:textId="65431DE2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B25A3D7" w14:textId="77777777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761D83A9" w14:textId="63AE2746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25ECE" w:rsidRPr="00E2422C" w14:paraId="7A948FF1" w14:textId="77777777" w:rsidTr="00025ECE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EF2E3B" w14:textId="601135B1" w:rsidR="00025ECE" w:rsidRPr="00E2422C" w:rsidRDefault="00025ECE" w:rsidP="0076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4</w:t>
            </w: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D2736BF" w14:textId="77777777" w:rsidR="00025ECE" w:rsidRDefault="00025ECE" w:rsidP="007601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5EB0412D" w14:textId="77777777" w:rsidR="00F64A86" w:rsidRDefault="00F64A86" w:rsidP="007601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538F282D" w14:textId="77777777" w:rsidR="00F64A86" w:rsidRDefault="00F64A86" w:rsidP="007601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25CD6C38" w14:textId="77777777" w:rsidR="00F64A86" w:rsidRPr="00E2422C" w:rsidRDefault="00F64A86" w:rsidP="007601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4BD7191" w14:textId="77777777" w:rsidR="00025ECE" w:rsidRPr="00E2422C" w:rsidRDefault="00025ECE" w:rsidP="0076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02BA9D9F" w14:textId="77777777" w:rsidR="00025ECE" w:rsidRPr="00E2422C" w:rsidRDefault="00025ECE" w:rsidP="007601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C3D9D59" w14:textId="77777777" w:rsidR="00025ECE" w:rsidRPr="00E2422C" w:rsidRDefault="00025ECE" w:rsidP="0076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2CA4F33" w14:textId="77777777" w:rsidR="00025ECE" w:rsidRPr="00E2422C" w:rsidRDefault="00025ECE" w:rsidP="00760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64D4FA3" w14:textId="77777777" w:rsidR="00025ECE" w:rsidRPr="00E2422C" w:rsidRDefault="00025ECE" w:rsidP="0076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6EF500A5" w14:textId="77777777" w:rsidR="00025ECE" w:rsidRPr="00E2422C" w:rsidRDefault="00025ECE" w:rsidP="0076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4826B160" w14:textId="77777777" w:rsidR="00025ECE" w:rsidRPr="00E2422C" w:rsidRDefault="00025ECE" w:rsidP="0076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F6F9E66" w14:textId="77777777" w:rsidR="00025ECE" w:rsidRPr="00E2422C" w:rsidRDefault="00025ECE" w:rsidP="0076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481C5F75" w14:textId="77777777" w:rsidR="00025ECE" w:rsidRPr="00E2422C" w:rsidRDefault="00025ECE" w:rsidP="0076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386F262" w14:textId="77777777" w:rsidR="00025ECE" w:rsidRPr="00E2422C" w:rsidRDefault="00025ECE" w:rsidP="0076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6B0D5C23" w14:textId="77777777" w:rsidR="00025ECE" w:rsidRPr="00E2422C" w:rsidRDefault="00025ECE" w:rsidP="0076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14:paraId="10C4CD9C" w14:textId="22FAF874" w:rsidR="00CE0E4F" w:rsidRDefault="00CE0E4F" w:rsidP="00025ECE">
      <w:pPr>
        <w:spacing w:after="0" w:line="240" w:lineRule="auto"/>
        <w:rPr>
          <w:rFonts w:ascii="Times New Roman" w:hAnsi="Times New Roman" w:cs="Times New Roman"/>
        </w:rPr>
      </w:pPr>
    </w:p>
    <w:sectPr w:rsidR="00CE0E4F" w:rsidSect="00B979AB">
      <w:footerReference w:type="default" r:id="rId10"/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B83C2" w14:textId="77777777" w:rsidR="00B62078" w:rsidRDefault="00B62078" w:rsidP="002A7A67">
      <w:pPr>
        <w:spacing w:after="0" w:line="240" w:lineRule="auto"/>
      </w:pPr>
      <w:r>
        <w:separator/>
      </w:r>
    </w:p>
  </w:endnote>
  <w:endnote w:type="continuationSeparator" w:id="0">
    <w:p w14:paraId="37470245" w14:textId="77777777" w:rsidR="00B62078" w:rsidRDefault="00B62078" w:rsidP="002A7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28555" w14:textId="5A047232" w:rsidR="00704E24" w:rsidRPr="00704E24" w:rsidRDefault="00704E24" w:rsidP="00704E24">
    <w:pPr>
      <w:pStyle w:val="Zpat"/>
      <w:jc w:val="both"/>
      <w:rPr>
        <w:sz w:val="18"/>
        <w:szCs w:val="18"/>
      </w:rPr>
    </w:pPr>
    <w:r w:rsidRPr="00704E24">
      <w:rPr>
        <w:sz w:val="18"/>
        <w:szCs w:val="18"/>
      </w:rPr>
      <w:t xml:space="preserve">* </w:t>
    </w:r>
    <w:r w:rsidRPr="00704E24">
      <w:rPr>
        <w:sz w:val="18"/>
        <w:szCs w:val="18"/>
      </w:rPr>
      <w:t xml:space="preserve">Do hodnocení postoupí pouze ty referenční zakázky, které budou splňovat zadavatelem </w:t>
    </w:r>
    <w:r w:rsidRPr="00704E24">
      <w:rPr>
        <w:sz w:val="18"/>
        <w:szCs w:val="18"/>
      </w:rPr>
      <w:t>uvedené</w:t>
    </w:r>
    <w:r w:rsidRPr="00704E24">
      <w:rPr>
        <w:sz w:val="18"/>
        <w:szCs w:val="18"/>
      </w:rPr>
      <w:t xml:space="preserve"> požadavky a u kterých bude doložena dokumentace potvrzující uvedené údaje dokladovou částí</w:t>
    </w:r>
    <w:r w:rsidRPr="00704E24">
      <w:rPr>
        <w:sz w:val="18"/>
        <w:szCs w:val="18"/>
      </w:rPr>
      <w:t xml:space="preserve"> (</w:t>
    </w:r>
    <w:r>
      <w:rPr>
        <w:sz w:val="18"/>
        <w:szCs w:val="18"/>
      </w:rPr>
      <w:t xml:space="preserve">tzn. </w:t>
    </w:r>
    <w:r w:rsidRPr="00704E24">
      <w:rPr>
        <w:sz w:val="18"/>
        <w:szCs w:val="18"/>
      </w:rPr>
      <w:t xml:space="preserve">osvědčení objednatele nebo pokud osvědčení objednatele neobsahuje veškeré zadavatelem požadované údaje o referenční zakázce, musí účastník doložit jiné doklady, z nichž budou </w:t>
    </w:r>
    <w:r w:rsidRPr="00704E24">
      <w:rPr>
        <w:b/>
        <w:bCs/>
        <w:sz w:val="18"/>
        <w:szCs w:val="18"/>
      </w:rPr>
      <w:t>všechny</w:t>
    </w:r>
    <w:r w:rsidRPr="00704E24">
      <w:rPr>
        <w:sz w:val="18"/>
        <w:szCs w:val="18"/>
      </w:rPr>
      <w:t xml:space="preserve"> požadované údaje o referenční zakázce vyplývat. Takovými doklady mohou být zejména: smlouva s objednatelem, doklad o předání a převzetí realizovaného plnění, rozpočet z dokumentace pro provádění stavby, průvodní zpráva, popř. části projektové dokumentace atp. (nebo podstatné části uvedených dokumentů)</w:t>
    </w:r>
    <w:r>
      <w:rPr>
        <w:sz w:val="18"/>
        <w:szCs w:val="18"/>
      </w:rPr>
      <w:t xml:space="preserve"> nebo m</w:t>
    </w:r>
    <w:r w:rsidRPr="00704E24">
      <w:rPr>
        <w:sz w:val="18"/>
        <w:szCs w:val="18"/>
      </w:rPr>
      <w:t>usí být vždy předloženy doklady, ze kterých bude zároveň vyplývat, že referenční zakázka byla zpracována v požadovaných stupních dokumentace, doba její realizace, investiční náklady, a zároveň informace o tom, že osoba HIP při realizaci této zakázky působila při vedení projektového týmu. Zadavatel připouští, aby jedním z dokladů (nikoliv však jediným) byl i vnitřní dokument účastníka nebo i třetí osoby (např. předchozího zaměstnavatele HIP).</w:t>
    </w:r>
  </w:p>
  <w:p w14:paraId="552E303A" w14:textId="7951F6DA" w:rsidR="00704E24" w:rsidRDefault="00704E24" w:rsidP="00704E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C17C2" w14:textId="77777777" w:rsidR="00B62078" w:rsidRDefault="00B62078" w:rsidP="002A7A67">
      <w:pPr>
        <w:spacing w:after="0" w:line="240" w:lineRule="auto"/>
      </w:pPr>
      <w:r>
        <w:separator/>
      </w:r>
    </w:p>
  </w:footnote>
  <w:footnote w:type="continuationSeparator" w:id="0">
    <w:p w14:paraId="1FABAE83" w14:textId="77777777" w:rsidR="00B62078" w:rsidRDefault="00B62078" w:rsidP="002A7A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A0374"/>
    <w:multiLevelType w:val="hybridMultilevel"/>
    <w:tmpl w:val="C66E092E"/>
    <w:lvl w:ilvl="0" w:tplc="60E463F2">
      <w:start w:val="1"/>
      <w:numFmt w:val="lowerLetter"/>
      <w:lvlText w:val="%1)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D5B71"/>
    <w:multiLevelType w:val="hybridMultilevel"/>
    <w:tmpl w:val="8D42B206"/>
    <w:lvl w:ilvl="0" w:tplc="0B90D2F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C0117"/>
    <w:multiLevelType w:val="hybridMultilevel"/>
    <w:tmpl w:val="F130415C"/>
    <w:lvl w:ilvl="0" w:tplc="45EA9B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94952"/>
    <w:multiLevelType w:val="hybridMultilevel"/>
    <w:tmpl w:val="C66E092E"/>
    <w:lvl w:ilvl="0" w:tplc="60E463F2">
      <w:start w:val="1"/>
      <w:numFmt w:val="lowerLetter"/>
      <w:lvlText w:val="%1)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402850">
    <w:abstractNumId w:val="3"/>
  </w:num>
  <w:num w:numId="2" w16cid:durableId="1931739238">
    <w:abstractNumId w:val="0"/>
  </w:num>
  <w:num w:numId="3" w16cid:durableId="486173752">
    <w:abstractNumId w:val="2"/>
  </w:num>
  <w:num w:numId="4" w16cid:durableId="1848514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CBA"/>
    <w:rsid w:val="0002076F"/>
    <w:rsid w:val="00025ECE"/>
    <w:rsid w:val="00032F84"/>
    <w:rsid w:val="000A2931"/>
    <w:rsid w:val="000C668E"/>
    <w:rsid w:val="000D350D"/>
    <w:rsid w:val="00107A15"/>
    <w:rsid w:val="001200AD"/>
    <w:rsid w:val="001214AF"/>
    <w:rsid w:val="0012650C"/>
    <w:rsid w:val="0014333C"/>
    <w:rsid w:val="001C3A58"/>
    <w:rsid w:val="00265960"/>
    <w:rsid w:val="00281D5F"/>
    <w:rsid w:val="0029304F"/>
    <w:rsid w:val="002A7A67"/>
    <w:rsid w:val="002C27B0"/>
    <w:rsid w:val="00311BA3"/>
    <w:rsid w:val="0036201D"/>
    <w:rsid w:val="00383608"/>
    <w:rsid w:val="00383D96"/>
    <w:rsid w:val="003B29E5"/>
    <w:rsid w:val="003D00AC"/>
    <w:rsid w:val="003F5DF1"/>
    <w:rsid w:val="00420F03"/>
    <w:rsid w:val="00426141"/>
    <w:rsid w:val="00457855"/>
    <w:rsid w:val="00475CF2"/>
    <w:rsid w:val="00480615"/>
    <w:rsid w:val="004C1513"/>
    <w:rsid w:val="004C1BC7"/>
    <w:rsid w:val="004C4BC4"/>
    <w:rsid w:val="004F69CB"/>
    <w:rsid w:val="00537187"/>
    <w:rsid w:val="00542DD6"/>
    <w:rsid w:val="0056027E"/>
    <w:rsid w:val="0056033B"/>
    <w:rsid w:val="00562574"/>
    <w:rsid w:val="00583333"/>
    <w:rsid w:val="00595515"/>
    <w:rsid w:val="005A00AF"/>
    <w:rsid w:val="005A628F"/>
    <w:rsid w:val="005C6585"/>
    <w:rsid w:val="005D3920"/>
    <w:rsid w:val="006244A8"/>
    <w:rsid w:val="00647FF8"/>
    <w:rsid w:val="006D6E8E"/>
    <w:rsid w:val="00704E24"/>
    <w:rsid w:val="00720CD8"/>
    <w:rsid w:val="007440D1"/>
    <w:rsid w:val="00762960"/>
    <w:rsid w:val="007E7079"/>
    <w:rsid w:val="007E7F06"/>
    <w:rsid w:val="008428D3"/>
    <w:rsid w:val="00852C08"/>
    <w:rsid w:val="00867414"/>
    <w:rsid w:val="008C410D"/>
    <w:rsid w:val="008C5DCF"/>
    <w:rsid w:val="008D2182"/>
    <w:rsid w:val="008F7A8B"/>
    <w:rsid w:val="00904C79"/>
    <w:rsid w:val="009B6BF0"/>
    <w:rsid w:val="009C441E"/>
    <w:rsid w:val="009E58ED"/>
    <w:rsid w:val="00A037FF"/>
    <w:rsid w:val="00A079A6"/>
    <w:rsid w:val="00A54698"/>
    <w:rsid w:val="00A6444D"/>
    <w:rsid w:val="00A73BC3"/>
    <w:rsid w:val="00AB0D10"/>
    <w:rsid w:val="00B26CAE"/>
    <w:rsid w:val="00B511BE"/>
    <w:rsid w:val="00B62078"/>
    <w:rsid w:val="00B979AB"/>
    <w:rsid w:val="00BA531B"/>
    <w:rsid w:val="00BA7DB3"/>
    <w:rsid w:val="00BB3608"/>
    <w:rsid w:val="00BC11E3"/>
    <w:rsid w:val="00BC67F5"/>
    <w:rsid w:val="00C05AA2"/>
    <w:rsid w:val="00C118FD"/>
    <w:rsid w:val="00CE0E4F"/>
    <w:rsid w:val="00CF075F"/>
    <w:rsid w:val="00CF36A0"/>
    <w:rsid w:val="00D0589F"/>
    <w:rsid w:val="00D5058F"/>
    <w:rsid w:val="00D50FF0"/>
    <w:rsid w:val="00D669B3"/>
    <w:rsid w:val="00DA0CF5"/>
    <w:rsid w:val="00DB477D"/>
    <w:rsid w:val="00DE2874"/>
    <w:rsid w:val="00E06F36"/>
    <w:rsid w:val="00E1785B"/>
    <w:rsid w:val="00E2422C"/>
    <w:rsid w:val="00E70B30"/>
    <w:rsid w:val="00F103B2"/>
    <w:rsid w:val="00F64A86"/>
    <w:rsid w:val="00F72CBA"/>
    <w:rsid w:val="00F94D6C"/>
    <w:rsid w:val="00FC7DAC"/>
    <w:rsid w:val="00FE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315A3"/>
  <w15:chartTrackingRefBased/>
  <w15:docId w15:val="{75A4C2E7-77E4-48CA-B2A7-6F19E74A9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2CB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A7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7A67"/>
  </w:style>
  <w:style w:type="paragraph" w:styleId="Zpat">
    <w:name w:val="footer"/>
    <w:basedOn w:val="Normln"/>
    <w:link w:val="ZpatChar"/>
    <w:uiPriority w:val="99"/>
    <w:unhideWhenUsed/>
    <w:rsid w:val="002A7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7A67"/>
  </w:style>
  <w:style w:type="table" w:styleId="Mkatabulky">
    <w:name w:val="Table Grid"/>
    <w:basedOn w:val="Normlntabulka"/>
    <w:uiPriority w:val="39"/>
    <w:rsid w:val="00A03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037F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037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5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E5E2AF-B73E-440A-AE73-E1CD428544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C09D4E-E0EC-4899-8EAB-0EC031DB7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5127B9-BD86-4B44-8216-10DDFA61107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Monika Drobilová</cp:lastModifiedBy>
  <cp:revision>8</cp:revision>
  <dcterms:created xsi:type="dcterms:W3CDTF">2024-12-21T14:41:00Z</dcterms:created>
  <dcterms:modified xsi:type="dcterms:W3CDTF">2025-08-10T16:12:00Z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