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44CE6DCF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AE21E4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5ADA8BB2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proofErr w:type="gramStart"/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>TDI  -</w:t>
      </w:r>
      <w:proofErr w:type="gramEnd"/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 Oprava komunikace 447/1, Loučky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250E" w14:textId="77777777" w:rsidR="00441BC8" w:rsidRDefault="00441BC8" w:rsidP="00A205BC">
      <w:pPr>
        <w:spacing w:before="0" w:line="240" w:lineRule="auto"/>
      </w:pPr>
      <w:r>
        <w:separator/>
      </w:r>
    </w:p>
  </w:endnote>
  <w:endnote w:type="continuationSeparator" w:id="0">
    <w:p w14:paraId="73820553" w14:textId="77777777" w:rsidR="00441BC8" w:rsidRDefault="00441BC8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06A7" w14:textId="77777777" w:rsidR="00441BC8" w:rsidRDefault="00441BC8" w:rsidP="00A205BC">
      <w:pPr>
        <w:spacing w:before="0" w:line="240" w:lineRule="auto"/>
      </w:pPr>
      <w:r>
        <w:separator/>
      </w:r>
    </w:p>
  </w:footnote>
  <w:footnote w:type="continuationSeparator" w:id="0">
    <w:p w14:paraId="4D008632" w14:textId="77777777" w:rsidR="00441BC8" w:rsidRDefault="00441BC8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76824"/>
    <w:rsid w:val="003F259A"/>
    <w:rsid w:val="00441BC8"/>
    <w:rsid w:val="00490DB4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A231BE"/>
    <w:rsid w:val="00AE21E4"/>
    <w:rsid w:val="00B368F4"/>
    <w:rsid w:val="00B6277F"/>
    <w:rsid w:val="00BB34B4"/>
    <w:rsid w:val="00BD6E0E"/>
    <w:rsid w:val="00C5524C"/>
    <w:rsid w:val="00D740F7"/>
    <w:rsid w:val="00DD5658"/>
    <w:rsid w:val="00E16295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2026-03-05T12:54:00Z</dcterms:modified>
</cp:coreProperties>
</file>