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6313" w:rsidP="3D689A2C" w:rsidRDefault="00465D4C" w14:paraId="236C987F" w14:textId="0CF545C2">
      <w:pPr>
        <w:pStyle w:val="Normln"/>
        <w:jc w:val="both"/>
        <w:rPr>
          <w:b w:val="1"/>
          <w:bCs w:val="1"/>
        </w:rPr>
      </w:pPr>
      <w:r w:rsidRPr="3D689A2C" w:rsidR="754FD9C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cs-CZ"/>
        </w:rPr>
        <w:t>Požadavky a podmínky plynoucí z příloh a závazných dokumentů OPST</w:t>
      </w:r>
      <w:r w:rsidRPr="3D689A2C" w:rsidR="754FD9C2">
        <w:rPr>
          <w:b w:val="1"/>
          <w:bCs w:val="1"/>
        </w:rPr>
        <w:t xml:space="preserve"> </w:t>
      </w:r>
    </w:p>
    <w:p w:rsidR="00826313" w:rsidP="3D689A2C" w:rsidRDefault="00465D4C" w14:paraId="5AC221B0" w14:textId="59D4FA86">
      <w:pPr>
        <w:pStyle w:val="Normln"/>
        <w:jc w:val="both"/>
      </w:pPr>
      <w:r w:rsidR="00465D4C">
        <w:rPr/>
        <w:t>MEDARD – závazné podmínky DNSH a způsob doložení</w:t>
      </w:r>
    </w:p>
    <w:p w:rsidRPr="003E5F00" w:rsidR="00465D4C" w:rsidP="00465D4C" w:rsidRDefault="00465D4C" w14:paraId="3C12D0EF" w14:textId="2CD45AD4">
      <w:pPr>
        <w:jc w:val="both"/>
        <w:rPr>
          <w:u w:val="single"/>
        </w:rPr>
      </w:pPr>
      <w:r w:rsidRPr="003E5F00">
        <w:rPr>
          <w:u w:val="single"/>
        </w:rPr>
        <w:t>Základní podmínka DNSH:</w:t>
      </w:r>
    </w:p>
    <w:p w:rsidR="00465D4C" w:rsidP="00465D4C" w:rsidRDefault="00465D4C" w14:paraId="17D81726" w14:textId="77777777">
      <w:pPr>
        <w:jc w:val="both"/>
      </w:pPr>
      <w:r>
        <w:t xml:space="preserve">Z OP ST nelze podporovat investice: </w:t>
      </w:r>
    </w:p>
    <w:p w:rsidR="00465D4C" w:rsidP="00465D4C" w:rsidRDefault="00465D4C" w14:paraId="1854E5B7" w14:textId="77777777">
      <w:pPr>
        <w:jc w:val="both"/>
      </w:pPr>
      <w:r>
        <w:t xml:space="preserve">a) do výroby, zpracování, přepravy, distribuce, skladování nebo spalování fosilních paliv včetně investic do materiálního využití fosilních paliv; </w:t>
      </w:r>
    </w:p>
    <w:p w:rsidR="00465D4C" w:rsidP="00465D4C" w:rsidRDefault="00465D4C" w14:paraId="13A6CFAF" w14:textId="77777777">
      <w:pPr>
        <w:jc w:val="both"/>
      </w:pPr>
      <w:r>
        <w:t xml:space="preserve">b) snižující emise skleníkových plynů v zařízení ETS; </w:t>
      </w:r>
    </w:p>
    <w:p w:rsidR="00465D4C" w:rsidP="00465D4C" w:rsidRDefault="00465D4C" w14:paraId="36B94D9D" w14:textId="0BFD68B6">
      <w:pPr>
        <w:jc w:val="both"/>
      </w:pPr>
      <w:r>
        <w:t>c) zaměřené na energetické využití odpadů</w:t>
      </w:r>
    </w:p>
    <w:p w:rsidRPr="003E5F00" w:rsidR="00465D4C" w:rsidP="00465D4C" w:rsidRDefault="00465D4C" w14:paraId="44CD88AA" w14:textId="6676C52B">
      <w:pPr>
        <w:jc w:val="both"/>
        <w:rPr>
          <w:u w:val="single"/>
        </w:rPr>
      </w:pPr>
      <w:r w:rsidRPr="6C0C822E" w:rsidR="00465D4C">
        <w:rPr>
          <w:u w:val="single"/>
        </w:rPr>
        <w:t xml:space="preserve">Předmětem realizace projektu jsou stavební práce </w:t>
      </w:r>
      <w:r w:rsidRPr="6C0C822E" w:rsidR="72051C97">
        <w:rPr>
          <w:u w:val="single"/>
        </w:rPr>
        <w:t xml:space="preserve">uvedené v </w:t>
      </w:r>
      <w:r w:rsidRPr="6C0C822E" w:rsidR="2FE12BFC">
        <w:rPr>
          <w:u w:val="single"/>
        </w:rPr>
        <w:t>předmětu zakázky</w:t>
      </w:r>
      <w:r w:rsidRPr="6C0C822E" w:rsidR="6A13330F">
        <w:rPr>
          <w:u w:val="single"/>
        </w:rPr>
        <w:t>.</w:t>
      </w:r>
    </w:p>
    <w:p w:rsidR="00465D4C" w:rsidP="00465D4C" w:rsidRDefault="00465D4C" w14:paraId="70EB5FEB" w14:textId="0E803523">
      <w:pPr>
        <w:jc w:val="both"/>
      </w:pPr>
      <w:r w:rsidR="00465D4C">
        <w:rPr/>
        <w:t xml:space="preserve"> Bude nezbytné zajistit:</w:t>
      </w:r>
    </w:p>
    <w:p w:rsidR="00465D4C" w:rsidP="00465D4C" w:rsidRDefault="00465D4C" w14:paraId="3FBF993D" w14:textId="1C26EA5A">
      <w:pPr>
        <w:jc w:val="both"/>
      </w:pPr>
      <w:r>
        <w:t>Nejméně 70 % (hmotnostních) stavebního a demoličního odpadu neklasifikovaného</w:t>
      </w:r>
      <w:r>
        <w:t xml:space="preserve"> </w:t>
      </w:r>
      <w:r>
        <w:t>jako nebezpečný ( s výjimkou v přírodě se vyskytujících materiálů uvedených v</w:t>
      </w:r>
      <w:r>
        <w:t xml:space="preserve"> </w:t>
      </w:r>
      <w:r>
        <w:t>kategorii 17 05 04 v Evropském seznamu odpadů stanoveném rozhodnutím</w:t>
      </w:r>
      <w:r>
        <w:t xml:space="preserve"> </w:t>
      </w:r>
      <w:r>
        <w:t>2000/532/ES) vzniklého na staveništi je připraveno k opětovnému použití, recyklaci</w:t>
      </w:r>
      <w:r>
        <w:t xml:space="preserve"> </w:t>
      </w:r>
      <w:r>
        <w:t>a k jiným druhům materiálového využití, včetně zásypů, při nichž jsou jiné materiály</w:t>
      </w:r>
      <w:r>
        <w:t xml:space="preserve"> </w:t>
      </w:r>
      <w:r>
        <w:t>nahrazeny odpadem, v souladu s hierarchií způsobů nakládání s odpady a</w:t>
      </w:r>
      <w:r>
        <w:t xml:space="preserve"> </w:t>
      </w:r>
      <w:r>
        <w:t>protokolem EU pro nakládání se stavebním a demoličním odpadem.</w:t>
      </w:r>
    </w:p>
    <w:p w:rsidR="00465D4C" w:rsidP="323D6121" w:rsidRDefault="00465D4C" w14:paraId="79645800" w14:textId="7CE8E95C">
      <w:pPr>
        <w:jc w:val="both"/>
        <w:rPr>
          <w:b w:val="1"/>
          <w:bCs w:val="1"/>
        </w:rPr>
      </w:pPr>
      <w:r w:rsidR="00465D4C">
        <w:rPr/>
        <w:t xml:space="preserve">b) Na stavbě je omezován vznik odpadů v souladu s EU </w:t>
      </w:r>
      <w:r w:rsidR="00465D4C">
        <w:rPr/>
        <w:t>Construction</w:t>
      </w:r>
      <w:r w:rsidR="00465D4C">
        <w:rPr/>
        <w:t xml:space="preserve"> and </w:t>
      </w:r>
      <w:r w:rsidR="00465D4C">
        <w:rPr/>
        <w:t>Demolition</w:t>
      </w:r>
      <w:r w:rsidR="00465D4C">
        <w:rPr/>
        <w:t xml:space="preserve"> </w:t>
      </w:r>
      <w:r w:rsidR="00465D4C">
        <w:rPr/>
        <w:t>Waste</w:t>
      </w:r>
      <w:r w:rsidR="00465D4C">
        <w:rPr/>
        <w:t xml:space="preserve"> Management </w:t>
      </w:r>
      <w:r w:rsidR="00465D4C">
        <w:rPr/>
        <w:t>Protocol</w:t>
      </w:r>
      <w:r w:rsidR="00465D4C">
        <w:rPr/>
        <w:t xml:space="preserve"> a berou se do úvahy nejlepší dostupné techniky</w:t>
      </w:r>
      <w:r w:rsidR="00465D4C">
        <w:rPr/>
        <w:t xml:space="preserve"> </w:t>
      </w:r>
      <w:r w:rsidR="00465D4C">
        <w:rPr/>
        <w:t>sloužící k odstranění nebezpečného odpadu a znovuvyužití materiálů. Dříve</w:t>
      </w:r>
      <w:r w:rsidR="00465D4C">
        <w:rPr/>
        <w:t xml:space="preserve"> </w:t>
      </w:r>
      <w:r w:rsidR="00465D4C">
        <w:rPr/>
        <w:t>zmíněné je v souladu s odpadovou legislativou zejména zákonem č. 541/2020 Sb.,</w:t>
      </w:r>
      <w:r w:rsidR="00465D4C">
        <w:rPr/>
        <w:t xml:space="preserve"> </w:t>
      </w:r>
      <w:r w:rsidR="00465D4C">
        <w:rPr/>
        <w:t>o odpadech a navazujícími právními předpisy vyhláškou č. 273/2021 Sb., o</w:t>
      </w:r>
      <w:r w:rsidR="00465D4C">
        <w:rPr/>
        <w:t xml:space="preserve"> </w:t>
      </w:r>
      <w:r w:rsidR="00465D4C">
        <w:rPr/>
        <w:t>podrobnostech nakládání s odpady a vyhláškou č. 8/2021 Sb., Katalogem odpadů,</w:t>
      </w:r>
      <w:r w:rsidR="00465D4C">
        <w:rPr/>
        <w:t xml:space="preserve"> </w:t>
      </w:r>
      <w:r w:rsidR="00465D4C">
        <w:rPr/>
        <w:t>doplněné metodickým návodem pro řízení vzniku stavebních a demoličních odpadů</w:t>
      </w:r>
      <w:r w:rsidR="00465D4C">
        <w:rPr/>
        <w:t xml:space="preserve"> </w:t>
      </w:r>
      <w:r w:rsidR="00465D4C">
        <w:rPr/>
        <w:t xml:space="preserve">a pro nakládání s </w:t>
      </w:r>
      <w:r w:rsidR="00465D4C">
        <w:rPr/>
        <w:t>nimi.</w:t>
      </w:r>
    </w:p>
    <w:p w:rsidR="00465D4C" w:rsidP="00465D4C" w:rsidRDefault="00465D4C" w14:paraId="7F725DC6" w14:textId="3B5D29FB">
      <w:pPr>
        <w:jc w:val="both"/>
        <w:rPr>
          <w:b w:val="1"/>
          <w:bCs w:val="1"/>
        </w:rPr>
      </w:pPr>
      <w:r>
        <w:cr/>
      </w:r>
      <w:r w:rsidRPr="0019626E" w:rsidR="0019626E">
        <w:rPr>
          <w:b w:val="1"/>
          <w:bCs w:val="1"/>
        </w:rPr>
        <w:t>Doložení podmínek bude součástí stanoviska TDI po ukončení stavby (nejpozději ke dni ukončení fyzické realizace projektu)</w:t>
      </w:r>
      <w:r w:rsidR="0019626E">
        <w:rPr>
          <w:b w:val="1"/>
          <w:bCs w:val="1"/>
        </w:rPr>
        <w:t>. Odpad může být předán autorizovanému zpracovateli, který vystaví dokument s potvrzením že 70-</w:t>
      </w:r>
      <w:r w:rsidR="626552B3">
        <w:rPr>
          <w:b w:val="1"/>
          <w:bCs w:val="1"/>
        </w:rPr>
        <w:t>100 %</w:t>
      </w:r>
      <w:r w:rsidR="0019626E">
        <w:rPr>
          <w:b w:val="1"/>
          <w:bCs w:val="1"/>
        </w:rPr>
        <w:t xml:space="preserve"> odpadu bude zpracováno k opětovnému využití.</w:t>
      </w:r>
    </w:p>
    <w:p w:rsidRPr="003E5F00" w:rsidR="0019626E" w:rsidP="00465D4C" w:rsidRDefault="0019626E" w14:paraId="567DD0EC" w14:textId="38433F29">
      <w:pPr>
        <w:jc w:val="both"/>
        <w:rPr>
          <w:u w:val="single"/>
        </w:rPr>
      </w:pPr>
      <w:r w:rsidRPr="323D6121" w:rsidR="0019626E">
        <w:rPr>
          <w:u w:val="single"/>
        </w:rPr>
        <w:t xml:space="preserve">Výstavba nových </w:t>
      </w:r>
      <w:r w:rsidRPr="323D6121" w:rsidR="59778A2E">
        <w:rPr>
          <w:u w:val="single"/>
        </w:rPr>
        <w:t>budov – objektů</w:t>
      </w:r>
    </w:p>
    <w:p w:rsidR="0019626E" w:rsidP="00465D4C" w:rsidRDefault="0019626E" w14:paraId="4654328A" w14:textId="25E4310D">
      <w:pPr>
        <w:jc w:val="both"/>
      </w:pPr>
      <w:r>
        <w:t>Nové budovy musí splňovat minimální požadovanou energetickou efektivitu, a to:</w:t>
      </w:r>
    </w:p>
    <w:p w:rsidR="0019626E" w:rsidP="0019626E" w:rsidRDefault="0019626E" w14:paraId="68D17E9A" w14:textId="70CE201C">
      <w:pPr>
        <w:jc w:val="both"/>
        <w:rPr>
          <w:b/>
          <w:bCs/>
        </w:rPr>
      </w:pPr>
      <w:r>
        <w:t>Spotřeba primární energie definující energetickou náročnost budovy, která je</w:t>
      </w:r>
      <w:r>
        <w:t xml:space="preserve"> </w:t>
      </w:r>
      <w:r>
        <w:t xml:space="preserve">výsledkem výstavby, </w:t>
      </w:r>
      <w:r>
        <w:t xml:space="preserve">musí být </w:t>
      </w:r>
      <w:r>
        <w:t>nejméně o 20 % nižší než prahová hodnota, kterou u</w:t>
      </w:r>
      <w:r>
        <w:t xml:space="preserve"> </w:t>
      </w:r>
      <w:r>
        <w:t>požadavků na budovy s téměř nulovou spotřebou energie stanoví vnitrostátní</w:t>
      </w:r>
      <w:r>
        <w:t xml:space="preserve"> </w:t>
      </w:r>
      <w:r>
        <w:t>opatření provádějící směrnici Evropského parlamentu a Rady 2010/31/EU</w:t>
      </w:r>
      <w:r>
        <w:t xml:space="preserve"> </w:t>
      </w:r>
      <w:r w:rsidRPr="0019626E">
        <w:rPr>
          <w:b/>
          <w:bCs/>
        </w:rPr>
        <w:t>(Spotřeba primární energie musí být 20 % pod hodnotu referenční budovy)</w:t>
      </w:r>
      <w:r w:rsidRPr="0019626E">
        <w:rPr>
          <w:b/>
          <w:bCs/>
        </w:rPr>
        <w:t>.</w:t>
      </w:r>
    </w:p>
    <w:p w:rsidR="0019626E" w:rsidP="0019626E" w:rsidRDefault="0019626E" w14:paraId="1B59C8F4" w14:textId="77777777">
      <w:pPr>
        <w:jc w:val="both"/>
        <w:rPr>
          <w:b/>
          <w:bCs/>
        </w:rPr>
      </w:pPr>
      <w:r>
        <w:rPr>
          <w:b/>
          <w:bCs/>
        </w:rPr>
        <w:t xml:space="preserve">Doložení podmínky bude prostřednictvím průkazu energetické náročnosti budov (PENB), a to individuálně za každou novou budovu. PENB musí být pro stav po realizaci. </w:t>
      </w:r>
    </w:p>
    <w:p w:rsidR="0019626E" w:rsidP="0019626E" w:rsidRDefault="0019626E" w14:paraId="62EC0CDD" w14:textId="37F5E681">
      <w:pPr>
        <w:jc w:val="both"/>
        <w:rPr>
          <w:b/>
          <w:bCs/>
        </w:rPr>
      </w:pPr>
      <w:r>
        <w:rPr>
          <w:b/>
          <w:bCs/>
        </w:rPr>
        <w:t xml:space="preserve">Doplnění: Energetický posudek není od verze 10 </w:t>
      </w:r>
      <w:proofErr w:type="spellStart"/>
      <w:r>
        <w:rPr>
          <w:b/>
          <w:bCs/>
        </w:rPr>
        <w:t>PrŽaP</w:t>
      </w:r>
      <w:proofErr w:type="spellEnd"/>
      <w:r>
        <w:rPr>
          <w:b/>
          <w:bCs/>
        </w:rPr>
        <w:t xml:space="preserve"> OPST, k 1.9.2023 není požadován energetický posudek před zahájením stavby.</w:t>
      </w:r>
    </w:p>
    <w:p w:rsidRPr="003E5F00" w:rsidR="0019626E" w:rsidP="0019626E" w:rsidRDefault="0019626E" w14:paraId="507DE338" w14:textId="26DC34FB">
      <w:pPr>
        <w:jc w:val="both"/>
        <w:rPr>
          <w:u w:val="single"/>
        </w:rPr>
      </w:pPr>
      <w:r w:rsidRPr="003E5F00">
        <w:rPr>
          <w:u w:val="single"/>
        </w:rPr>
        <w:t>Nákup vybavení:</w:t>
      </w:r>
    </w:p>
    <w:p w:rsidR="0019626E" w:rsidP="0019626E" w:rsidRDefault="0019626E" w14:paraId="598CBB6A" w14:textId="0D254084">
      <w:pPr>
        <w:jc w:val="both"/>
      </w:pPr>
      <w:r>
        <w:t>V rámci snižování energetické náročnosti technologických procesů musejí všechny nové spotřebiče splňovat nejvyšší dostupnou energetickou třídu dle příslušné legislativy pro daný typ spotřebiče.</w:t>
      </w:r>
    </w:p>
    <w:p w:rsidR="0019626E" w:rsidP="0019626E" w:rsidRDefault="0019626E" w14:paraId="5BA83140" w14:textId="35BC8E73">
      <w:pPr>
        <w:jc w:val="both"/>
      </w:pPr>
      <w:r>
        <w:lastRenderedPageBreak/>
        <w:t xml:space="preserve">Doložení, v případě energetické třídy spotřebiče „A“ není potřeba dokládat srovnání. V případě nižší energetické třídy je zapotřebí doložit záznam o průzkumu trhu </w:t>
      </w:r>
      <w:r w:rsidR="004F0876">
        <w:t>s podobným</w:t>
      </w:r>
      <w:r>
        <w:t xml:space="preserve"> typem spotřebič</w:t>
      </w:r>
      <w:r w:rsidR="004F0876">
        <w:t>e</w:t>
      </w:r>
      <w:r>
        <w:t xml:space="preserve"> a </w:t>
      </w:r>
      <w:r w:rsidR="004F0876">
        <w:t>obdobných technických specifikací.</w:t>
      </w:r>
    </w:p>
    <w:p w:rsidRPr="003E5F00" w:rsidR="004F0876" w:rsidP="0019626E" w:rsidRDefault="004F0876" w14:paraId="3FD5EED4" w14:textId="502B4727">
      <w:pPr>
        <w:jc w:val="both"/>
        <w:rPr>
          <w:u w:val="single"/>
        </w:rPr>
      </w:pPr>
      <w:r w:rsidRPr="003E5F00">
        <w:rPr>
          <w:u w:val="single"/>
        </w:rPr>
        <w:t>Vybavení spotřebovávající vodu:</w:t>
      </w:r>
    </w:p>
    <w:p w:rsidR="004F0876" w:rsidP="004F0876" w:rsidRDefault="004F0876" w14:paraId="72BFBDC7" w14:textId="6A9322D3">
      <w:pPr>
        <w:jc w:val="both"/>
      </w:pPr>
      <w:r>
        <w:t>Z OP ST lze podporovat instalaci zařízení využívajících vodu (sprchy, vany, WC atd.)</w:t>
      </w:r>
      <w:r>
        <w:t xml:space="preserve"> </w:t>
      </w:r>
      <w:r>
        <w:t>pouze za těchto podmínek:</w:t>
      </w:r>
    </w:p>
    <w:p w:rsidR="004F0876" w:rsidP="004F0876" w:rsidRDefault="004F0876" w14:paraId="40E05D60" w14:textId="77777777">
      <w:pPr>
        <w:jc w:val="both"/>
      </w:pPr>
      <w:r>
        <w:t>a) sprchy mají maximální průtok vody 8 l/min;</w:t>
      </w:r>
    </w:p>
    <w:p w:rsidR="004F0876" w:rsidP="004F0876" w:rsidRDefault="004F0876" w14:paraId="3AACDE04" w14:textId="77777777">
      <w:pPr>
        <w:jc w:val="both"/>
      </w:pPr>
      <w:r>
        <w:t>b) WC, zahrnující soupravy, mísy a splachovací nádrže, mají úplný objem</w:t>
      </w:r>
      <w:r>
        <w:t xml:space="preserve"> </w:t>
      </w:r>
      <w:r>
        <w:t>splachovací vody maximálně 6 l. a maximální průměrný objem splachovací vody</w:t>
      </w:r>
      <w:r>
        <w:t xml:space="preserve"> </w:t>
      </w:r>
      <w:r>
        <w:t>3,5l;</w:t>
      </w:r>
      <w:r>
        <w:t xml:space="preserve"> </w:t>
      </w:r>
    </w:p>
    <w:p w:rsidR="004F0876" w:rsidP="004F0876" w:rsidRDefault="004F0876" w14:paraId="4D403481" w14:textId="41768660">
      <w:pPr>
        <w:jc w:val="both"/>
      </w:pPr>
      <w:r>
        <w:t>c) pisoáry spotřebují maximálně 2 l/mísu/hodinu. Splachovací pisoáry mají</w:t>
      </w:r>
      <w:r>
        <w:t xml:space="preserve"> </w:t>
      </w:r>
      <w:r>
        <w:t>maximální úplný objem splachovací vody 1 l;</w:t>
      </w:r>
    </w:p>
    <w:p w:rsidRPr="0019626E" w:rsidR="004F0876" w:rsidP="004F0876" w:rsidRDefault="004F0876" w14:paraId="14A1134D" w14:textId="332B163A">
      <w:pPr>
        <w:jc w:val="both"/>
      </w:pPr>
      <w:r>
        <w:t>d) umyvadlové baterie a kuchyňské baterie mají maximální průtok 6 l/min.</w:t>
      </w:r>
    </w:p>
    <w:p w:rsidRPr="003E5F00" w:rsidR="0019626E" w:rsidP="0019626E" w:rsidRDefault="004F0876" w14:paraId="4193F0B0" w14:textId="545D4CBA">
      <w:pPr>
        <w:jc w:val="both"/>
        <w:rPr>
          <w:b/>
          <w:bCs/>
        </w:rPr>
      </w:pPr>
      <w:r w:rsidRPr="003E5F00">
        <w:rPr>
          <w:b/>
          <w:bCs/>
        </w:rPr>
        <w:t>Doložení není SFŽP specifikováno, obecné parametry DNSH dle technických pokynů úředního věstníku:</w:t>
      </w:r>
    </w:p>
    <w:p w:rsidRPr="003E5F00" w:rsidR="003E5F00" w:rsidP="003E5F00" w:rsidRDefault="003E5F00" w14:paraId="2F5D0B36" w14:textId="5D43A56F">
      <w:pPr>
        <w:jc w:val="both"/>
        <w:rPr>
          <w:b w:val="1"/>
          <w:bCs w:val="1"/>
        </w:rPr>
      </w:pPr>
      <w:r w:rsidRPr="323D6121" w:rsidR="003E5F00">
        <w:rPr>
          <w:b w:val="1"/>
          <w:bCs w:val="1"/>
        </w:rPr>
        <w:t xml:space="preserve">1. Průtok se zaznamenává při standardním referenčním tlaku </w:t>
      </w:r>
      <w:r w:rsidRPr="323D6121" w:rsidR="6D2B00D0">
        <w:rPr>
          <w:b w:val="1"/>
          <w:bCs w:val="1"/>
        </w:rPr>
        <w:t>3–0</w:t>
      </w:r>
      <w:r w:rsidRPr="323D6121" w:rsidR="003E5F00">
        <w:rPr>
          <w:b w:val="1"/>
          <w:bCs w:val="1"/>
        </w:rPr>
        <w:t>/+0,2 bar nebo 0,1 –0/+0,02 u výrobků omezených na nízký tlak.</w:t>
      </w:r>
    </w:p>
    <w:p w:rsidRPr="003E5F00" w:rsidR="003E5F00" w:rsidP="003E5F00" w:rsidRDefault="003E5F00" w14:paraId="20738F4B" w14:textId="03318C05">
      <w:pPr>
        <w:jc w:val="both"/>
        <w:rPr>
          <w:b/>
          <w:bCs/>
        </w:rPr>
      </w:pPr>
      <w:r w:rsidRPr="003E5F00">
        <w:rPr>
          <w:b/>
          <w:bCs/>
        </w:rPr>
        <w:t>2. Průtok při nižším tlaku 1,5 –0/+0,2 bar je ≥ 60 % maximálního dostupného průtoku.</w:t>
      </w:r>
    </w:p>
    <w:p w:rsidRPr="003E5F00" w:rsidR="003E5F00" w:rsidP="003E5F00" w:rsidRDefault="003E5F00" w14:paraId="017D6BB2" w14:textId="1ED540E9">
      <w:pPr>
        <w:jc w:val="both"/>
        <w:rPr>
          <w:b/>
          <w:bCs/>
        </w:rPr>
      </w:pPr>
      <w:r w:rsidRPr="003E5F00">
        <w:rPr>
          <w:b/>
          <w:bCs/>
        </w:rPr>
        <w:t>3. U směšovacích sprch je referenční teplota 38 ±1 °C.</w:t>
      </w:r>
    </w:p>
    <w:p w:rsidRPr="003E5F00" w:rsidR="003E5F00" w:rsidP="003E5F00" w:rsidRDefault="003E5F00" w14:paraId="68F87B2C" w14:textId="7627DABF">
      <w:pPr>
        <w:jc w:val="both"/>
        <w:rPr>
          <w:b/>
          <w:bCs/>
        </w:rPr>
      </w:pPr>
      <w:r w:rsidRPr="003E5F00">
        <w:rPr>
          <w:b/>
          <w:bCs/>
        </w:rPr>
        <w:t>4. Pokud musí být průtok nižší než 6 l/min, je v souladu s pravidlem stanoveným v bodě 2.</w:t>
      </w:r>
    </w:p>
    <w:p w:rsidRPr="003E5F00" w:rsidR="003E5F00" w:rsidP="003E5F00" w:rsidRDefault="003E5F00" w14:paraId="799BF148" w14:textId="71FFD9C1">
      <w:pPr>
        <w:jc w:val="both"/>
        <w:rPr>
          <w:b/>
          <w:bCs/>
        </w:rPr>
      </w:pPr>
      <w:r w:rsidRPr="003E5F00">
        <w:rPr>
          <w:b/>
          <w:bCs/>
        </w:rPr>
        <w:t>5. U výtokových ventilů se postupuje podle bodu 10.2.3 normy EN 200 s těmito výjimkami:</w:t>
      </w:r>
    </w:p>
    <w:p w:rsidRPr="003E5F00" w:rsidR="003E5F00" w:rsidP="003E5F00" w:rsidRDefault="003E5F00" w14:paraId="6748E875" w14:textId="41323E2B">
      <w:pPr>
        <w:jc w:val="both"/>
        <w:rPr>
          <w:b w:val="1"/>
          <w:bCs w:val="1"/>
        </w:rPr>
      </w:pPr>
      <w:r w:rsidRPr="323D6121" w:rsidR="003E5F00">
        <w:rPr>
          <w:b w:val="1"/>
          <w:bCs w:val="1"/>
        </w:rPr>
        <w:t xml:space="preserve">a) u výtokových ventilů, které nejsou určeny pouze pro nízkotlaké použití: použijte tlak </w:t>
      </w:r>
      <w:r w:rsidRPr="323D6121" w:rsidR="4E00BFF2">
        <w:rPr>
          <w:b w:val="1"/>
          <w:bCs w:val="1"/>
        </w:rPr>
        <w:t>3–0</w:t>
      </w:r>
      <w:r w:rsidRPr="323D6121" w:rsidR="003E5F00">
        <w:rPr>
          <w:b w:val="1"/>
          <w:bCs w:val="1"/>
        </w:rPr>
        <w:t>/+0,2 bar střídavě do ventilu na teplou a studenou vodu;</w:t>
      </w:r>
    </w:p>
    <w:p w:rsidR="003E5F00" w:rsidP="003E5F00" w:rsidRDefault="003E5F00" w14:paraId="7771048E" w14:textId="730AC876">
      <w:pPr>
        <w:jc w:val="both"/>
        <w:rPr>
          <w:b/>
          <w:bCs/>
        </w:rPr>
      </w:pPr>
      <w:r w:rsidRPr="003E5F00">
        <w:rPr>
          <w:b/>
          <w:bCs/>
        </w:rPr>
        <w:t>b) u výtokových ventilů, které jsou určeny pouze pro nízkotlaké použití: použijte tlak 0,4 –0/+0,02 bar do ventilu na teplou i studenou vodu a zcela otevřete regulátor průtoku.</w:t>
      </w:r>
    </w:p>
    <w:p w:rsidR="003E5F00" w:rsidP="003E5F00" w:rsidRDefault="003E5F00" w14:paraId="06A72909" w14:textId="4E6E2686">
      <w:pPr>
        <w:jc w:val="both"/>
        <w:rPr>
          <w:b/>
          <w:bCs/>
        </w:rPr>
      </w:pPr>
      <w:r w:rsidRPr="003E5F00">
        <w:rPr>
          <w:b/>
          <w:bCs/>
        </w:rPr>
        <w:t xml:space="preserve">  K posouzení technických specifikací výrobků je na úrovni EU k dispozici odkaz na normy EU: EN 200 „</w:t>
      </w:r>
      <w:proofErr w:type="spellStart"/>
      <w:r w:rsidRPr="003E5F00">
        <w:rPr>
          <w:b/>
          <w:bCs/>
        </w:rPr>
        <w:t>Zdravotnětechnické</w:t>
      </w:r>
      <w:proofErr w:type="spellEnd"/>
      <w:r w:rsidRPr="003E5F00">
        <w:rPr>
          <w:b/>
          <w:bCs/>
        </w:rPr>
        <w:t xml:space="preserve"> armatury – Výtokové ventily a ventilové směšovací baterie pro vnitřní vodovody typu 1 a 2 – Všeobecná technická specifikace“; EN 816 „</w:t>
      </w:r>
      <w:proofErr w:type="spellStart"/>
      <w:r w:rsidRPr="003E5F00">
        <w:rPr>
          <w:b/>
          <w:bCs/>
        </w:rPr>
        <w:t>Zdravotnětechnické</w:t>
      </w:r>
      <w:proofErr w:type="spellEnd"/>
      <w:r w:rsidRPr="003E5F00">
        <w:rPr>
          <w:b/>
          <w:bCs/>
        </w:rPr>
        <w:t xml:space="preserve"> armatury – Samočinné uzavírací armatury PN 10“;·EN 817 „Mechanické směšovací baterie (PN 10) – Všeobecné technické požadavky“;·EN 1111 „</w:t>
      </w:r>
      <w:proofErr w:type="spellStart"/>
      <w:r w:rsidRPr="003E5F00">
        <w:rPr>
          <w:b/>
          <w:bCs/>
        </w:rPr>
        <w:t>Zdravotnětechnické</w:t>
      </w:r>
      <w:proofErr w:type="spellEnd"/>
      <w:r w:rsidRPr="003E5F00">
        <w:rPr>
          <w:b/>
          <w:bCs/>
        </w:rPr>
        <w:t xml:space="preserve"> armatury – Termostatické směšovací baterie (PN10) – Všeobecné technické podmínky“; EN 1112 „</w:t>
      </w:r>
      <w:proofErr w:type="spellStart"/>
      <w:r w:rsidRPr="003E5F00">
        <w:rPr>
          <w:b/>
          <w:bCs/>
        </w:rPr>
        <w:t>Zdravotnětechnické</w:t>
      </w:r>
      <w:proofErr w:type="spellEnd"/>
      <w:r w:rsidRPr="003E5F00">
        <w:rPr>
          <w:b/>
          <w:bCs/>
        </w:rPr>
        <w:t xml:space="preserve"> armatury – Sprchy pro </w:t>
      </w:r>
      <w:proofErr w:type="spellStart"/>
      <w:r w:rsidRPr="003E5F00">
        <w:rPr>
          <w:b/>
          <w:bCs/>
        </w:rPr>
        <w:t>zdravotnětechnické</w:t>
      </w:r>
      <w:proofErr w:type="spellEnd"/>
      <w:r w:rsidRPr="003E5F00">
        <w:rPr>
          <w:b/>
          <w:bCs/>
        </w:rPr>
        <w:t xml:space="preserve"> armatury pro vnitřní vodovody typu 1 a typu 2 – Všeobecné technické požadavky“; EN 1113 pro „</w:t>
      </w:r>
      <w:proofErr w:type="spellStart"/>
      <w:r w:rsidRPr="003E5F00">
        <w:rPr>
          <w:b/>
          <w:bCs/>
        </w:rPr>
        <w:t>Zdravotnětechnické</w:t>
      </w:r>
      <w:proofErr w:type="spellEnd"/>
      <w:r w:rsidRPr="003E5F00">
        <w:rPr>
          <w:b/>
          <w:bCs/>
        </w:rPr>
        <w:t xml:space="preserve"> armatury – Sprchové hadice pro </w:t>
      </w:r>
      <w:proofErr w:type="spellStart"/>
      <w:r w:rsidRPr="003E5F00">
        <w:rPr>
          <w:b/>
          <w:bCs/>
        </w:rPr>
        <w:t>zdravotnětechnické</w:t>
      </w:r>
      <w:proofErr w:type="spellEnd"/>
      <w:r w:rsidRPr="003E5F00">
        <w:rPr>
          <w:b/>
          <w:bCs/>
        </w:rPr>
        <w:t xml:space="preserve"> armatury pro vnitřní vodovody typu 1 a typu 2 – Všeobecné technické požadavky“ včetně metody pro testování odolnosti hadice proti ohybu;·EN 1287 pro „</w:t>
      </w:r>
      <w:proofErr w:type="spellStart"/>
      <w:r w:rsidRPr="003E5F00">
        <w:rPr>
          <w:b/>
          <w:bCs/>
        </w:rPr>
        <w:t>Zdravotnětechnické</w:t>
      </w:r>
      <w:proofErr w:type="spellEnd"/>
      <w:r w:rsidRPr="003E5F00">
        <w:rPr>
          <w:b/>
          <w:bCs/>
        </w:rPr>
        <w:t xml:space="preserve"> armatury – Nízkotlaké termostatické směšovače – Všeobecné technické požadavky“; EN 15091 „</w:t>
      </w:r>
      <w:proofErr w:type="spellStart"/>
      <w:r w:rsidRPr="003E5F00">
        <w:rPr>
          <w:b/>
          <w:bCs/>
        </w:rPr>
        <w:t>Zdravotnětechnické</w:t>
      </w:r>
      <w:proofErr w:type="spellEnd"/>
      <w:r w:rsidRPr="003E5F00">
        <w:rPr>
          <w:b/>
          <w:bCs/>
        </w:rPr>
        <w:t xml:space="preserve"> armatury – Elektronicky otevírané a uzavírané </w:t>
      </w:r>
      <w:proofErr w:type="spellStart"/>
      <w:r w:rsidRPr="003E5F00">
        <w:rPr>
          <w:b/>
          <w:bCs/>
        </w:rPr>
        <w:t>zdravotnětechnické</w:t>
      </w:r>
      <w:proofErr w:type="spellEnd"/>
      <w:r w:rsidRPr="003E5F00">
        <w:rPr>
          <w:b/>
          <w:bCs/>
        </w:rPr>
        <w:t xml:space="preserve"> armatury“</w:t>
      </w:r>
    </w:p>
    <w:p w:rsidRPr="003E5F00" w:rsidR="003E5F00" w:rsidP="003E5F00" w:rsidRDefault="003E5F00" w14:paraId="19BB8E94" w14:textId="7592B045">
      <w:pPr>
        <w:jc w:val="both"/>
        <w:rPr>
          <w:u w:val="single"/>
        </w:rPr>
      </w:pPr>
      <w:r w:rsidRPr="003E5F00">
        <w:rPr>
          <w:u w:val="single"/>
        </w:rPr>
        <w:t>Zachování přirozené biologické rozmanitosti:</w:t>
      </w:r>
    </w:p>
    <w:p w:rsidRPr="003E5F00" w:rsidR="003E5F00" w:rsidP="003E5F00" w:rsidRDefault="003E5F00" w14:paraId="07D852B5" w14:textId="10E9954A">
      <w:pPr>
        <w:jc w:val="both"/>
        <w:rPr>
          <w:b/>
          <w:bCs/>
        </w:rPr>
      </w:pPr>
      <w:r w:rsidRPr="003E5F00">
        <w:rPr>
          <w:b/>
          <w:bCs/>
        </w:rPr>
        <w:t>Při výsadbě zeleně se použijí pouze stanovištně vhodné dřeviny, které zajistí odolnost</w:t>
      </w:r>
      <w:r>
        <w:rPr>
          <w:b/>
          <w:bCs/>
        </w:rPr>
        <w:t xml:space="preserve"> </w:t>
      </w:r>
      <w:r w:rsidRPr="003E5F00">
        <w:rPr>
          <w:b/>
          <w:bCs/>
        </w:rPr>
        <w:t>vůči klimatu a zároveň nebudou mít negativní dopad z pohledu biologické rozmanitosti</w:t>
      </w:r>
    </w:p>
    <w:sectPr w:rsidRPr="003E5F00" w:rsidR="003E5F0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D4C"/>
    <w:rsid w:val="0019626E"/>
    <w:rsid w:val="003E5F00"/>
    <w:rsid w:val="00465D4C"/>
    <w:rsid w:val="004F0876"/>
    <w:rsid w:val="00826313"/>
    <w:rsid w:val="00996221"/>
    <w:rsid w:val="00BB06AC"/>
    <w:rsid w:val="00D42FAD"/>
    <w:rsid w:val="04AAD3B6"/>
    <w:rsid w:val="17A5C07B"/>
    <w:rsid w:val="2FE12BFC"/>
    <w:rsid w:val="323D6121"/>
    <w:rsid w:val="3D689A2C"/>
    <w:rsid w:val="4E00BFF2"/>
    <w:rsid w:val="59778A2E"/>
    <w:rsid w:val="626552B3"/>
    <w:rsid w:val="639FE10C"/>
    <w:rsid w:val="687762AE"/>
    <w:rsid w:val="6A13330F"/>
    <w:rsid w:val="6C0C822E"/>
    <w:rsid w:val="6D2B00D0"/>
    <w:rsid w:val="6DDC1CEF"/>
    <w:rsid w:val="6E1E7083"/>
    <w:rsid w:val="711684AE"/>
    <w:rsid w:val="72051C97"/>
    <w:rsid w:val="754FD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CE63F"/>
  <w15:chartTrackingRefBased/>
  <w15:docId w15:val="{70C52958-5032-487B-9BFF-92EA24077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25207D9CB5F47BB840BC03FE33EC0" ma:contentTypeVersion="17" ma:contentTypeDescription="Vytvoří nový dokument" ma:contentTypeScope="" ma:versionID="042e324942afdfd220b0ecb136225e60">
  <xsd:schema xmlns:xsd="http://www.w3.org/2001/XMLSchema" xmlns:xs="http://www.w3.org/2001/XMLSchema" xmlns:p="http://schemas.microsoft.com/office/2006/metadata/properties" xmlns:ns2="25a60328-d424-4038-b1cd-542a28166fcf" xmlns:ns3="958b37d7-bdd4-46cf-9f1f-554a87a46a8b" targetNamespace="http://schemas.microsoft.com/office/2006/metadata/properties" ma:root="true" ma:fieldsID="7ddd28d8c86ef2ecc49db1c3fdf7cb45" ns2:_="" ns3:_="">
    <xsd:import namespace="25a60328-d424-4038-b1cd-542a28166fcf"/>
    <xsd:import namespace="958b37d7-bdd4-46cf-9f1f-554a87a46a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60328-d424-4038-b1cd-542a28166f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4c754194-2c82-416b-8a1a-ba57b9bc2f5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8b37d7-bdd4-46cf-9f1f-554a87a46a8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24e748f-f904-4d24-959f-84dc55126cc3}" ma:internalName="TaxCatchAll" ma:showField="CatchAllData" ma:web="958b37d7-bdd4-46cf-9f1f-554a87a46a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5a60328-d424-4038-b1cd-542a28166fcf">
      <Terms xmlns="http://schemas.microsoft.com/office/infopath/2007/PartnerControls"/>
    </lcf76f155ced4ddcb4097134ff3c332f>
    <TaxCatchAll xmlns="958b37d7-bdd4-46cf-9f1f-554a87a46a8b" xsi:nil="true"/>
  </documentManagement>
</p:properties>
</file>

<file path=customXml/itemProps1.xml><?xml version="1.0" encoding="utf-8"?>
<ds:datastoreItem xmlns:ds="http://schemas.openxmlformats.org/officeDocument/2006/customXml" ds:itemID="{E65EE320-02CF-422C-8788-94A5403F7660}"/>
</file>

<file path=customXml/itemProps2.xml><?xml version="1.0" encoding="utf-8"?>
<ds:datastoreItem xmlns:ds="http://schemas.openxmlformats.org/officeDocument/2006/customXml" ds:itemID="{0F0D9F83-0C80-4165-A7E7-98A369B38E1F}"/>
</file>

<file path=customXml/itemProps3.xml><?xml version="1.0" encoding="utf-8"?>
<ds:datastoreItem xmlns:ds="http://schemas.openxmlformats.org/officeDocument/2006/customXml" ds:itemID="{F4CB4A06-BB4C-4D57-A33A-97FCDC2955E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Mec</dc:creator>
  <cp:keywords/>
  <dc:description/>
  <cp:lastModifiedBy>Alena Jechová</cp:lastModifiedBy>
  <cp:revision>5</cp:revision>
  <dcterms:created xsi:type="dcterms:W3CDTF">2023-09-15T09:50:00Z</dcterms:created>
  <dcterms:modified xsi:type="dcterms:W3CDTF">2023-09-18T13:08:22Z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0x01010075D25207D9CB5F47BB840BC03FE33EC0</vt:lpwstr>
  </property>
  <property fmtid="{D5CDD505-2E9C-101B-9397-08002B2CF9AE}" pid="3" name="MediaServiceImageTags">
    <vt:lpwstr/>
  </property>
</Properties>
</file>