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AF30" w14:textId="77777777" w:rsidR="00667361" w:rsidRPr="00EF6B03" w:rsidRDefault="00ED6ACA" w:rsidP="00667361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Pravidla pro</w:t>
      </w:r>
      <w:r w:rsidR="00EF6B03" w:rsidRPr="00EF6B03">
        <w:rPr>
          <w:b/>
          <w:sz w:val="28"/>
          <w:szCs w:val="28"/>
        </w:rPr>
        <w:t xml:space="preserve"> provádění změn díla</w:t>
      </w:r>
    </w:p>
    <w:p w14:paraId="6CBEAF31" w14:textId="77777777" w:rsidR="00667361" w:rsidRPr="00EF6B03" w:rsidRDefault="00667361" w:rsidP="00667361">
      <w:pPr>
        <w:pStyle w:val="Nadpis1"/>
      </w:pPr>
      <w:r w:rsidRPr="00667361">
        <w:t xml:space="preserve">Postup při </w:t>
      </w:r>
      <w:r>
        <w:t xml:space="preserve">provádění změn díla </w:t>
      </w:r>
    </w:p>
    <w:p w14:paraId="6CBEAF32" w14:textId="46CBDD48" w:rsidR="00667361" w:rsidRPr="00667361" w:rsidRDefault="00667361" w:rsidP="00667361">
      <w:r w:rsidRPr="00667361">
        <w:t xml:space="preserve">Při zohlednění obecné právní úpravy </w:t>
      </w:r>
      <w:r>
        <w:t xml:space="preserve">zakotvené v </w:t>
      </w:r>
      <w:r w:rsidRPr="00667361">
        <w:t xml:space="preserve">§ 222 zák. č. 134/02016 Sb., o zadávání veřejných zakázek, v platném a účinném znění </w:t>
      </w:r>
      <w:r>
        <w:t>(dále jen „</w:t>
      </w:r>
      <w:r w:rsidRPr="00C15DF5">
        <w:rPr>
          <w:b/>
          <w:bCs/>
        </w:rPr>
        <w:t>ZZVZ</w:t>
      </w:r>
      <w:r>
        <w:t xml:space="preserve">“) </w:t>
      </w:r>
      <w:r w:rsidRPr="00667361">
        <w:t xml:space="preserve">a vnitřních předpisů </w:t>
      </w:r>
      <w:r>
        <w:t>o</w:t>
      </w:r>
      <w:r w:rsidRPr="00667361">
        <w:t>bjednatele, představuje tento dokument spolu s</w:t>
      </w:r>
      <w:r>
        <w:t xml:space="preserve">e smlouvou </w:t>
      </w:r>
      <w:r w:rsidRPr="00667361">
        <w:t>závazná pravidla postupu při</w:t>
      </w:r>
      <w:r>
        <w:t xml:space="preserve"> provádění změn díla. Za změnu díla se ve smyslu smlouvy považují méněpráce, víceprác</w:t>
      </w:r>
      <w:r w:rsidR="00A60DC6">
        <w:t>e</w:t>
      </w:r>
      <w:r>
        <w:t xml:space="preserve"> či realizace návrhů na zlepšení (dále souh</w:t>
      </w:r>
      <w:r w:rsidR="00C15DF5">
        <w:t>rn</w:t>
      </w:r>
      <w:r>
        <w:t>ně jen „</w:t>
      </w:r>
      <w:r w:rsidRPr="00667361">
        <w:rPr>
          <w:b/>
        </w:rPr>
        <w:t>změna díla</w:t>
      </w:r>
      <w:r>
        <w:t>“)</w:t>
      </w:r>
      <w:r w:rsidRPr="00667361">
        <w:t>.</w:t>
      </w:r>
    </w:p>
    <w:p w14:paraId="6CBEAF33" w14:textId="77777777" w:rsidR="00667361" w:rsidRPr="00667361" w:rsidRDefault="00667361" w:rsidP="00667361"/>
    <w:p w14:paraId="6CBEAF34" w14:textId="6F8C417E" w:rsidR="00667361" w:rsidRPr="00667361" w:rsidRDefault="00667361" w:rsidP="00667361">
      <w:bookmarkStart w:id="0" w:name="_Toc305060697"/>
      <w:bookmarkStart w:id="1" w:name="_Toc305061191"/>
      <w:r w:rsidRPr="00667361">
        <w:t xml:space="preserve">Je-li </w:t>
      </w:r>
      <w:r>
        <w:t>o</w:t>
      </w:r>
      <w:r w:rsidRPr="00667361">
        <w:t xml:space="preserve">bjednatel </w:t>
      </w:r>
      <w:r>
        <w:t xml:space="preserve">při provádění změn díla </w:t>
      </w:r>
      <w:r w:rsidRPr="00667361">
        <w:t xml:space="preserve">povinen rozhodnout či jinak právně jednat ve stanovené lhůtě, tato lhůta neběží po dobu schvalování postupu ze strany </w:t>
      </w:r>
      <w:r w:rsidR="00A369E7">
        <w:t>Ministerstva životního prostředí (</w:t>
      </w:r>
      <w:r w:rsidR="0007415F">
        <w:t>dále jen „</w:t>
      </w:r>
      <w:r w:rsidR="00523DC5" w:rsidRPr="0007415F">
        <w:rPr>
          <w:b/>
          <w:bCs/>
        </w:rPr>
        <w:t>MŽP</w:t>
      </w:r>
      <w:r w:rsidR="0007415F">
        <w:t>“</w:t>
      </w:r>
      <w:r w:rsidR="00A369E7">
        <w:t>)</w:t>
      </w:r>
      <w:r w:rsidR="00710579">
        <w:t xml:space="preserve"> a/nebo </w:t>
      </w:r>
      <w:r w:rsidR="002A79CB">
        <w:t xml:space="preserve">Státního fondu </w:t>
      </w:r>
      <w:r w:rsidR="008C55B1">
        <w:t xml:space="preserve">životního prostředí </w:t>
      </w:r>
      <w:r w:rsidR="006F109D">
        <w:t>České republiky</w:t>
      </w:r>
      <w:r w:rsidRPr="00667361">
        <w:t xml:space="preserve">, a to ode dne odeslání podkladů </w:t>
      </w:r>
      <w:r w:rsidR="00155F91">
        <w:t>MŽP</w:t>
      </w:r>
      <w:r w:rsidRPr="00667361">
        <w:t xml:space="preserve"> </w:t>
      </w:r>
      <w:r w:rsidR="006F109D">
        <w:t>a/nebo Státnímu fondu životního prostředí České republiky</w:t>
      </w:r>
      <w:r w:rsidR="006F109D" w:rsidRPr="00667361">
        <w:t xml:space="preserve"> </w:t>
      </w:r>
      <w:r w:rsidRPr="00667361">
        <w:t xml:space="preserve">do dne vydání stanoviska či vyjádření </w:t>
      </w:r>
      <w:r w:rsidR="00155F91">
        <w:t>MŽP</w:t>
      </w:r>
      <w:r w:rsidR="006F109D">
        <w:t xml:space="preserve"> a/nebo Státního fondu životního prostředí České republiky</w:t>
      </w:r>
      <w:r w:rsidRPr="00667361">
        <w:t xml:space="preserve">. </w:t>
      </w:r>
    </w:p>
    <w:p w14:paraId="6CBEAF35" w14:textId="77777777" w:rsidR="00667361" w:rsidRPr="00667361" w:rsidRDefault="00667361" w:rsidP="00667361">
      <w:r w:rsidRPr="00667361">
        <w:t xml:space="preserve"> </w:t>
      </w:r>
    </w:p>
    <w:p w14:paraId="6CBEAF36" w14:textId="77777777" w:rsidR="00667361" w:rsidRPr="00667361" w:rsidRDefault="00667361" w:rsidP="00667361">
      <w:r w:rsidRPr="00667361">
        <w:t xml:space="preserve">Evidenci veškerých dokumentů vztahujících se k procesu provádění </w:t>
      </w:r>
      <w:r>
        <w:t>změn</w:t>
      </w:r>
      <w:r w:rsidRPr="00667361">
        <w:t xml:space="preserve"> </w:t>
      </w:r>
      <w:r>
        <w:t>dle smlouvy</w:t>
      </w:r>
      <w:r w:rsidRPr="00667361">
        <w:rPr>
          <w:bCs/>
          <w:iCs/>
        </w:rPr>
        <w:t xml:space="preserve"> </w:t>
      </w:r>
      <w:r w:rsidRPr="00667361">
        <w:t>vede</w:t>
      </w:r>
      <w:r>
        <w:t xml:space="preserve"> technický dozor objednatele</w:t>
      </w:r>
      <w:r w:rsidR="006C1FD6">
        <w:t xml:space="preserve"> (dále jen „</w:t>
      </w:r>
      <w:r w:rsidR="006C1FD6" w:rsidRPr="006C1FD6">
        <w:rPr>
          <w:b/>
        </w:rPr>
        <w:t>TDI</w:t>
      </w:r>
      <w:r w:rsidR="006C1FD6">
        <w:t>“)</w:t>
      </w:r>
      <w:r w:rsidRPr="00667361">
        <w:t>.</w:t>
      </w:r>
      <w:bookmarkEnd w:id="0"/>
      <w:bookmarkEnd w:id="1"/>
      <w:r>
        <w:t xml:space="preserve"> </w:t>
      </w:r>
      <w:r w:rsidR="009B2E51">
        <w:t>TDI rovněž předloží zhotoviteli při podpisu smlouvy vzor Změnového listu a Návrhu na zlepšení.</w:t>
      </w:r>
    </w:p>
    <w:p w14:paraId="6CBEAF37" w14:textId="77777777" w:rsidR="00667361" w:rsidRPr="00EF6B03" w:rsidRDefault="00667361" w:rsidP="00667361">
      <w:pPr>
        <w:pStyle w:val="Nadpis1"/>
      </w:pPr>
      <w:r>
        <w:t>Změn</w:t>
      </w:r>
      <w:r w:rsidR="00A60DC6">
        <w:t>y</w:t>
      </w:r>
      <w:r w:rsidRPr="00667361">
        <w:t xml:space="preserve"> provedené na návrh </w:t>
      </w:r>
      <w:r>
        <w:t>objednatele</w:t>
      </w:r>
    </w:p>
    <w:p w14:paraId="6CBEAF38" w14:textId="77777777" w:rsidR="00667361" w:rsidRPr="00667361" w:rsidRDefault="00667361" w:rsidP="00157F58">
      <w:pPr>
        <w:numPr>
          <w:ilvl w:val="0"/>
          <w:numId w:val="15"/>
        </w:numPr>
        <w:ind w:left="284" w:hanging="284"/>
      </w:pPr>
      <w:r w:rsidRPr="00667361">
        <w:t xml:space="preserve">V případě, že </w:t>
      </w:r>
      <w:r>
        <w:t>objednatel</w:t>
      </w:r>
      <w:r w:rsidR="006C1FD6">
        <w:t>, resp. TDI</w:t>
      </w:r>
      <w:r w:rsidRPr="00667361">
        <w:t xml:space="preserve"> požaduje provedení jakékoliv změny </w:t>
      </w:r>
      <w:r>
        <w:t>d</w:t>
      </w:r>
      <w:r w:rsidRPr="00667361">
        <w:t>íl</w:t>
      </w:r>
      <w:r>
        <w:t>a, jehož provedení je předmětem smlouvy</w:t>
      </w:r>
      <w:r w:rsidRPr="00667361">
        <w:t xml:space="preserve">, předloží Změnový list s návrhem </w:t>
      </w:r>
      <w:r>
        <w:t>změny díla</w:t>
      </w:r>
      <w:r w:rsidRPr="00667361">
        <w:t xml:space="preserve"> </w:t>
      </w:r>
      <w:r>
        <w:t>z</w:t>
      </w:r>
      <w:r w:rsidRPr="00667361">
        <w:t>hotoviteli.</w:t>
      </w:r>
    </w:p>
    <w:p w14:paraId="6CBEAF39" w14:textId="77777777" w:rsidR="00667361" w:rsidRPr="00667361" w:rsidRDefault="00667361" w:rsidP="00667361"/>
    <w:p w14:paraId="6CBEAF3A" w14:textId="6789788D" w:rsidR="00667361" w:rsidRDefault="00667361" w:rsidP="00157F58">
      <w:pPr>
        <w:numPr>
          <w:ilvl w:val="0"/>
          <w:numId w:val="15"/>
        </w:numPr>
        <w:ind w:left="284" w:hanging="284"/>
      </w:pPr>
      <w:r w:rsidRPr="00667361">
        <w:t xml:space="preserve">Zhotovitel nejpozději do </w:t>
      </w:r>
      <w:r>
        <w:t>pěti (5) pracovních</w:t>
      </w:r>
      <w:r w:rsidRPr="00667361">
        <w:t xml:space="preserve"> dnů po obdržení Změnového listu </w:t>
      </w:r>
      <w:r w:rsidR="006C1FD6">
        <w:t>TDI</w:t>
      </w:r>
      <w:r w:rsidRPr="00667361">
        <w:t xml:space="preserve"> písemně sdělí návrh ocenění </w:t>
      </w:r>
      <w:r>
        <w:t>změny díla</w:t>
      </w:r>
      <w:r w:rsidRPr="00667361">
        <w:t xml:space="preserve"> </w:t>
      </w:r>
      <w:r>
        <w:t>(v souladu s čl. 5.1</w:t>
      </w:r>
      <w:r w:rsidR="00CA2C8A">
        <w:t>0</w:t>
      </w:r>
      <w:r>
        <w:t xml:space="preserve"> smlouvy) </w:t>
      </w:r>
      <w:r w:rsidRPr="00667361">
        <w:t xml:space="preserve">a návrh termínu provedení </w:t>
      </w:r>
      <w:r>
        <w:t>této změny díla.</w:t>
      </w:r>
      <w:r w:rsidRPr="00667361">
        <w:t xml:space="preserve"> Po zpracování těchto údajů (tj. do </w:t>
      </w:r>
      <w:r>
        <w:t>pěti (5) pracovních</w:t>
      </w:r>
      <w:r w:rsidRPr="00667361">
        <w:t xml:space="preserve"> dnů) </w:t>
      </w:r>
      <w:r>
        <w:t>z</w:t>
      </w:r>
      <w:r w:rsidRPr="00667361">
        <w:t xml:space="preserve">hotovitel předloží Změnový list spolu s těmito údaji </w:t>
      </w:r>
      <w:r w:rsidR="006C1FD6">
        <w:t>TDI</w:t>
      </w:r>
      <w:r w:rsidRPr="00667361">
        <w:t xml:space="preserve"> k potvrzení.</w:t>
      </w:r>
    </w:p>
    <w:p w14:paraId="6CBEAF3B" w14:textId="77777777" w:rsidR="00667361" w:rsidRPr="00667361" w:rsidRDefault="00667361" w:rsidP="00667361">
      <w:pPr>
        <w:ind w:left="720"/>
      </w:pPr>
    </w:p>
    <w:p w14:paraId="6CBEAF3C" w14:textId="77777777" w:rsidR="00667361" w:rsidRPr="00667361" w:rsidRDefault="00667361" w:rsidP="00157F58">
      <w:pPr>
        <w:numPr>
          <w:ilvl w:val="0"/>
          <w:numId w:val="15"/>
        </w:numPr>
        <w:ind w:left="284" w:hanging="284"/>
      </w:pPr>
      <w:r w:rsidRPr="00667361">
        <w:t xml:space="preserve">Zhotovitel je povinen termín provedení </w:t>
      </w:r>
      <w:r w:rsidR="006C1FD6">
        <w:t>změny díla</w:t>
      </w:r>
      <w:r w:rsidRPr="00667361">
        <w:t xml:space="preserve"> navrhnout tak, aby byl s ohledem na povahu </w:t>
      </w:r>
      <w:r w:rsidR="006C1FD6">
        <w:t xml:space="preserve">změny díla </w:t>
      </w:r>
      <w:r w:rsidRPr="00667361">
        <w:t>objektivně nejkratší možný a současně minimalizoval případný negativní dopad na plnění Harmonogramu</w:t>
      </w:r>
      <w:r w:rsidR="006C1FD6">
        <w:t xml:space="preserve"> postupu prací</w:t>
      </w:r>
      <w:r w:rsidRPr="00667361">
        <w:t xml:space="preserve">. Shledá-li </w:t>
      </w:r>
      <w:r w:rsidR="006C1FD6">
        <w:t>TDI</w:t>
      </w:r>
      <w:r w:rsidRPr="00667361">
        <w:t xml:space="preserve"> údaje sdělené </w:t>
      </w:r>
      <w:r w:rsidR="006C1FD6">
        <w:t>z</w:t>
      </w:r>
      <w:r w:rsidRPr="00667361">
        <w:t xml:space="preserve">hotovitelem jako nedostatečné pro posouzení </w:t>
      </w:r>
      <w:r w:rsidR="006C1FD6">
        <w:t>změny díla</w:t>
      </w:r>
      <w:r w:rsidRPr="00667361">
        <w:t xml:space="preserve"> nebo nesouhlasí-li s návrhem dopadu </w:t>
      </w:r>
      <w:r w:rsidR="006C1FD6">
        <w:t>změny díla</w:t>
      </w:r>
      <w:r w:rsidRPr="00667361">
        <w:t xml:space="preserve"> na </w:t>
      </w:r>
      <w:r w:rsidR="006C1FD6" w:rsidRPr="00667361">
        <w:t>plnění Harmonogramu</w:t>
      </w:r>
      <w:r w:rsidR="006C1FD6">
        <w:t xml:space="preserve"> postupu prací</w:t>
      </w:r>
      <w:r w:rsidRPr="00667361">
        <w:t xml:space="preserve">, doručí </w:t>
      </w:r>
      <w:r w:rsidR="006C1FD6">
        <w:t>z</w:t>
      </w:r>
      <w:r w:rsidRPr="00667361">
        <w:t xml:space="preserve">hotoviteli písemný požadavek na opravu či doplnění těchto údajů. Zhotovitel je povinen takovému požadavku </w:t>
      </w:r>
      <w:r w:rsidR="006C1FD6">
        <w:t>TDI</w:t>
      </w:r>
      <w:r w:rsidRPr="00667361">
        <w:t xml:space="preserve"> vyhovět do </w:t>
      </w:r>
      <w:r w:rsidR="006C1FD6">
        <w:t>pěti (</w:t>
      </w:r>
      <w:r w:rsidRPr="00667361">
        <w:t>5</w:t>
      </w:r>
      <w:r w:rsidR="006C1FD6">
        <w:t>)</w:t>
      </w:r>
      <w:r w:rsidRPr="00667361">
        <w:t xml:space="preserve"> </w:t>
      </w:r>
      <w:r w:rsidR="006C1FD6">
        <w:t xml:space="preserve">pracovních </w:t>
      </w:r>
      <w:r w:rsidRPr="00667361">
        <w:t xml:space="preserve">dnů od </w:t>
      </w:r>
      <w:r w:rsidR="006C1FD6">
        <w:t xml:space="preserve">jeho </w:t>
      </w:r>
      <w:r w:rsidRPr="00667361">
        <w:t>obdržení</w:t>
      </w:r>
      <w:r w:rsidR="006C1FD6">
        <w:t xml:space="preserve">. </w:t>
      </w:r>
      <w:r w:rsidRPr="00667361">
        <w:t xml:space="preserve">Souhlasí-li </w:t>
      </w:r>
      <w:r w:rsidR="006C1FD6">
        <w:t>TDI</w:t>
      </w:r>
      <w:r w:rsidRPr="00667361">
        <w:t xml:space="preserve"> s návrhem </w:t>
      </w:r>
      <w:r w:rsidR="006C1FD6">
        <w:t>změny</w:t>
      </w:r>
      <w:r w:rsidRPr="00667361">
        <w:t xml:space="preserve"> </w:t>
      </w:r>
      <w:r w:rsidR="006C1FD6">
        <w:t xml:space="preserve">díla </w:t>
      </w:r>
      <w:r w:rsidRPr="00667361">
        <w:t xml:space="preserve">a údaji sdělenými ze strany </w:t>
      </w:r>
      <w:r w:rsidR="006C1FD6">
        <w:t>z</w:t>
      </w:r>
      <w:r w:rsidRPr="00667361">
        <w:t xml:space="preserve">hotovitele, Změnový list schválí a předloží jej bez zbytečného odkladu ke konečnému potvrzení </w:t>
      </w:r>
      <w:r w:rsidR="006C1FD6">
        <w:t>o</w:t>
      </w:r>
      <w:r w:rsidRPr="00667361">
        <w:t xml:space="preserve">bjednateli. Údaje sdělené </w:t>
      </w:r>
      <w:r w:rsidR="006C1FD6">
        <w:t>z</w:t>
      </w:r>
      <w:r w:rsidRPr="00667361">
        <w:t>hotovitelem dle bodu 4 (resp. doplněné dle tohoto bodu) se stanou součástí Změnového listu.</w:t>
      </w:r>
    </w:p>
    <w:p w14:paraId="6CBEAF3D" w14:textId="77777777" w:rsidR="00667361" w:rsidRPr="00667361" w:rsidRDefault="00667361" w:rsidP="00667361"/>
    <w:p w14:paraId="6CBEAF3E" w14:textId="476E13C3" w:rsidR="00667361" w:rsidRPr="00667361" w:rsidRDefault="00667361" w:rsidP="00157F58">
      <w:pPr>
        <w:numPr>
          <w:ilvl w:val="0"/>
          <w:numId w:val="15"/>
        </w:numPr>
        <w:ind w:left="284" w:hanging="284"/>
        <w:rPr>
          <w:iCs/>
        </w:rPr>
      </w:pPr>
      <w:r w:rsidRPr="00667361">
        <w:rPr>
          <w:iCs/>
        </w:rPr>
        <w:t xml:space="preserve">Objednatel Změnový list odsouhlasený </w:t>
      </w:r>
      <w:r w:rsidR="006C1FD6">
        <w:rPr>
          <w:iCs/>
        </w:rPr>
        <w:t>TDI</w:t>
      </w:r>
      <w:r w:rsidRPr="00667361">
        <w:rPr>
          <w:iCs/>
        </w:rPr>
        <w:t xml:space="preserve"> předloží k odsouhlasení M</w:t>
      </w:r>
      <w:r w:rsidR="00154686">
        <w:rPr>
          <w:iCs/>
        </w:rPr>
        <w:t>ŽP</w:t>
      </w:r>
      <w:r w:rsidR="00BA2CFA">
        <w:rPr>
          <w:iCs/>
        </w:rPr>
        <w:t xml:space="preserve"> </w:t>
      </w:r>
      <w:r w:rsidR="00BA2CFA">
        <w:t>a/nebo Státnímu fondu životního prostředí České republiky</w:t>
      </w:r>
      <w:r w:rsidRPr="00667361">
        <w:rPr>
          <w:iCs/>
        </w:rPr>
        <w:t>, vyplývá-li pro něj taková povinnost z pravidel a podmínek poskytnutí dotace.</w:t>
      </w:r>
    </w:p>
    <w:p w14:paraId="6CBEAF3F" w14:textId="77777777" w:rsidR="00667361" w:rsidRPr="00667361" w:rsidRDefault="00667361" w:rsidP="00667361">
      <w:pPr>
        <w:rPr>
          <w:iCs/>
        </w:rPr>
      </w:pPr>
    </w:p>
    <w:p w14:paraId="6CBEAF40" w14:textId="17DF1D36" w:rsidR="00667361" w:rsidRPr="00667361" w:rsidRDefault="00667361" w:rsidP="00157F58">
      <w:pPr>
        <w:numPr>
          <w:ilvl w:val="0"/>
          <w:numId w:val="15"/>
        </w:numPr>
        <w:ind w:left="284" w:hanging="284"/>
        <w:rPr>
          <w:iCs/>
        </w:rPr>
      </w:pPr>
      <w:r w:rsidRPr="00667361">
        <w:rPr>
          <w:iCs/>
        </w:rPr>
        <w:t xml:space="preserve">V případě, že </w:t>
      </w:r>
      <w:r w:rsidR="00154686" w:rsidRPr="00667361">
        <w:rPr>
          <w:iCs/>
        </w:rPr>
        <w:t>M</w:t>
      </w:r>
      <w:r w:rsidR="00154686">
        <w:rPr>
          <w:iCs/>
        </w:rPr>
        <w:t>ŽP</w:t>
      </w:r>
      <w:r w:rsidR="00154686">
        <w:t xml:space="preserve"> </w:t>
      </w:r>
      <w:r w:rsidR="004A6DE8">
        <w:t>a/nebo Státní fond životního prostředí České republiky</w:t>
      </w:r>
      <w:r w:rsidR="004A6DE8" w:rsidRPr="00667361">
        <w:rPr>
          <w:iCs/>
        </w:rPr>
        <w:t xml:space="preserve"> </w:t>
      </w:r>
      <w:r w:rsidRPr="00667361">
        <w:rPr>
          <w:iCs/>
        </w:rPr>
        <w:t>souhlas se Změnovým listem neudělí, navrhovací řízení končí bez dalšího.</w:t>
      </w:r>
    </w:p>
    <w:p w14:paraId="6CBEAF41" w14:textId="77777777" w:rsidR="00667361" w:rsidRPr="00667361" w:rsidRDefault="00667361" w:rsidP="00667361">
      <w:pPr>
        <w:rPr>
          <w:iCs/>
        </w:rPr>
      </w:pPr>
    </w:p>
    <w:p w14:paraId="6CBEAF42" w14:textId="693DFF58" w:rsidR="00667361" w:rsidRPr="00667361" w:rsidRDefault="00667361" w:rsidP="00157F58">
      <w:pPr>
        <w:numPr>
          <w:ilvl w:val="0"/>
          <w:numId w:val="15"/>
        </w:numPr>
        <w:ind w:left="284" w:hanging="284"/>
        <w:rPr>
          <w:iCs/>
        </w:rPr>
      </w:pPr>
      <w:r w:rsidRPr="00667361">
        <w:rPr>
          <w:iCs/>
        </w:rPr>
        <w:t xml:space="preserve"> V případě obdržení souhlasu ze strany </w:t>
      </w:r>
      <w:r w:rsidR="00154686" w:rsidRPr="00667361">
        <w:rPr>
          <w:iCs/>
        </w:rPr>
        <w:t>M</w:t>
      </w:r>
      <w:r w:rsidR="00154686">
        <w:rPr>
          <w:iCs/>
        </w:rPr>
        <w:t>ŽP</w:t>
      </w:r>
      <w:r w:rsidR="00154686">
        <w:t xml:space="preserve"> </w:t>
      </w:r>
      <w:r w:rsidR="004A6DE8">
        <w:t>a/nebo Státního fondu životního prostředí České republiky</w:t>
      </w:r>
      <w:r w:rsidR="004A6DE8" w:rsidRPr="00667361">
        <w:rPr>
          <w:iCs/>
        </w:rPr>
        <w:t xml:space="preserve"> </w:t>
      </w:r>
      <w:r w:rsidRPr="00667361">
        <w:rPr>
          <w:iCs/>
        </w:rPr>
        <w:t xml:space="preserve">či v případě, že takového souhlasu není zapotřebí, </w:t>
      </w:r>
      <w:r w:rsidR="006C1FD6">
        <w:rPr>
          <w:iCs/>
        </w:rPr>
        <w:t>o</w:t>
      </w:r>
      <w:r w:rsidRPr="00667361">
        <w:rPr>
          <w:iCs/>
        </w:rPr>
        <w:t xml:space="preserve">bjednatel Změnový list buď: </w:t>
      </w:r>
    </w:p>
    <w:p w14:paraId="6CBEAF44" w14:textId="77777777" w:rsidR="00667361" w:rsidRPr="00667361" w:rsidRDefault="00667361" w:rsidP="00667361">
      <w:pPr>
        <w:numPr>
          <w:ilvl w:val="0"/>
          <w:numId w:val="16"/>
        </w:numPr>
        <w:tabs>
          <w:tab w:val="num" w:pos="851"/>
        </w:tabs>
      </w:pPr>
      <w:r w:rsidRPr="00667361">
        <w:t xml:space="preserve">zamítne, čímž změnové řízení končí a </w:t>
      </w:r>
      <w:r w:rsidR="006C1FD6">
        <w:t>změna díla</w:t>
      </w:r>
      <w:r w:rsidRPr="00667361">
        <w:t xml:space="preserve"> nebude realizována, přičemž takové zamítnutí zcela záleží na posouzení </w:t>
      </w:r>
      <w:r w:rsidR="006C1FD6">
        <w:t>o</w:t>
      </w:r>
      <w:r w:rsidRPr="00667361">
        <w:t>bjednatele;</w:t>
      </w:r>
    </w:p>
    <w:p w14:paraId="6CBEAF45" w14:textId="77777777" w:rsidR="00667361" w:rsidRPr="00667361" w:rsidRDefault="00667361" w:rsidP="00667361">
      <w:pPr>
        <w:numPr>
          <w:ilvl w:val="0"/>
          <w:numId w:val="16"/>
        </w:numPr>
      </w:pPr>
      <w:r w:rsidRPr="00667361">
        <w:t xml:space="preserve">schválí svým podpisem na formuláři Změnového listu a na jeho základě </w:t>
      </w:r>
      <w:r w:rsidR="006C1FD6">
        <w:t>TDI</w:t>
      </w:r>
      <w:r w:rsidRPr="00667361">
        <w:t xml:space="preserve"> vydá </w:t>
      </w:r>
      <w:r w:rsidR="006C1FD6">
        <w:t>z</w:t>
      </w:r>
      <w:r w:rsidRPr="00667361">
        <w:t xml:space="preserve">hotoviteli pokyn k provedení </w:t>
      </w:r>
      <w:r w:rsidR="006C1FD6">
        <w:t>změny díla</w:t>
      </w:r>
      <w:r w:rsidRPr="00667361">
        <w:t xml:space="preserve">, čímž se </w:t>
      </w:r>
      <w:r w:rsidR="006C1FD6">
        <w:t>změna díla</w:t>
      </w:r>
      <w:r w:rsidRPr="00667361">
        <w:t xml:space="preserve"> stane pro </w:t>
      </w:r>
      <w:r w:rsidR="006C1FD6">
        <w:t>s</w:t>
      </w:r>
      <w:r w:rsidRPr="00667361">
        <w:t xml:space="preserve">mluvní strany závaznou a </w:t>
      </w:r>
      <w:r w:rsidR="006C1FD6">
        <w:t>z</w:t>
      </w:r>
      <w:r w:rsidRPr="00667361">
        <w:t xml:space="preserve">hotovitel ji bude povinen realizovat jako součást </w:t>
      </w:r>
      <w:r w:rsidR="006C1FD6">
        <w:t>d</w:t>
      </w:r>
      <w:r w:rsidRPr="00667361">
        <w:t>íla.</w:t>
      </w:r>
      <w:r w:rsidR="009B2E51">
        <w:t xml:space="preserve"> Na základě tohoto Změnového listu bude zároveň mezi smluvními stranami uzavřen dodatek ke smlouvě.</w:t>
      </w:r>
    </w:p>
    <w:p w14:paraId="6CBEAF46" w14:textId="77777777" w:rsidR="00667361" w:rsidRPr="00667361" w:rsidRDefault="00667361" w:rsidP="00667361"/>
    <w:p w14:paraId="6CBEAF47" w14:textId="77777777" w:rsidR="006C1FD6" w:rsidRDefault="006C1FD6" w:rsidP="00157F58">
      <w:pPr>
        <w:numPr>
          <w:ilvl w:val="0"/>
          <w:numId w:val="15"/>
        </w:numPr>
        <w:ind w:left="284" w:hanging="284"/>
      </w:pPr>
      <w:r>
        <w:t>TDI</w:t>
      </w:r>
      <w:r w:rsidR="00667361" w:rsidRPr="00667361">
        <w:t xml:space="preserve"> může vydat pokyn pro provedení </w:t>
      </w:r>
      <w:r>
        <w:t>změny díla</w:t>
      </w:r>
      <w:r w:rsidR="00667361" w:rsidRPr="00667361">
        <w:t xml:space="preserve"> před potvrzením Změnového listu dle bodu 4 (a následujících) pouze v případě, kdy by z důvodu prodlení hrozil vznik škody. V ostatních případech vydá </w:t>
      </w:r>
      <w:r>
        <w:t>TDI</w:t>
      </w:r>
      <w:r w:rsidR="00667361" w:rsidRPr="00667361">
        <w:t xml:space="preserve"> </w:t>
      </w:r>
      <w:r>
        <w:t>z</w:t>
      </w:r>
      <w:r w:rsidR="00667361" w:rsidRPr="00667361">
        <w:t xml:space="preserve">hotoviteli pokyn k provedení </w:t>
      </w:r>
      <w:r>
        <w:t>změny díla</w:t>
      </w:r>
      <w:r w:rsidR="00667361" w:rsidRPr="00667361">
        <w:t xml:space="preserve"> v rozsahu dle Změnového listu neprodleně po potvrzení (podpisu) Změnového listu </w:t>
      </w:r>
      <w:r>
        <w:t>o</w:t>
      </w:r>
      <w:r w:rsidR="00667361" w:rsidRPr="00667361">
        <w:t>bjednatelem.</w:t>
      </w:r>
    </w:p>
    <w:p w14:paraId="6CBEAF48" w14:textId="77777777" w:rsidR="006C1FD6" w:rsidRDefault="006C1FD6" w:rsidP="006C1FD6">
      <w:pPr>
        <w:pStyle w:val="Nadpis1"/>
      </w:pPr>
      <w:r>
        <w:t>Návrh změny díla ze strany zhotovitele</w:t>
      </w:r>
    </w:p>
    <w:p w14:paraId="6CBEAF49" w14:textId="7BFCF089" w:rsidR="006C1FD6" w:rsidRDefault="006C1FD6" w:rsidP="006C1FD6">
      <w:pPr>
        <w:pStyle w:val="Nadpis3"/>
        <w:keepNext w:val="0"/>
        <w:numPr>
          <w:ilvl w:val="0"/>
          <w:numId w:val="18"/>
        </w:numPr>
        <w:spacing w:before="0" w:after="0"/>
        <w:ind w:left="360"/>
        <w:rPr>
          <w:rFonts w:cs="Times New Roman"/>
          <w:b w:val="0"/>
          <w:iCs w:val="0"/>
          <w:szCs w:val="24"/>
        </w:rPr>
      </w:pPr>
      <w:r w:rsidRPr="006C1FD6">
        <w:rPr>
          <w:rFonts w:cs="Times New Roman"/>
          <w:b w:val="0"/>
          <w:iCs w:val="0"/>
          <w:szCs w:val="24"/>
        </w:rPr>
        <w:t xml:space="preserve">V případě, že </w:t>
      </w:r>
      <w:r>
        <w:rPr>
          <w:rFonts w:cs="Times New Roman"/>
          <w:b w:val="0"/>
          <w:iCs w:val="0"/>
          <w:szCs w:val="24"/>
        </w:rPr>
        <w:t>z</w:t>
      </w:r>
      <w:r w:rsidRPr="006C1FD6">
        <w:rPr>
          <w:rFonts w:cs="Times New Roman"/>
          <w:b w:val="0"/>
          <w:iCs w:val="0"/>
          <w:szCs w:val="24"/>
        </w:rPr>
        <w:t xml:space="preserve">hotovitel předložil postupem dle </w:t>
      </w:r>
      <w:r w:rsidR="00CA2C8A">
        <w:rPr>
          <w:rFonts w:cs="Times New Roman"/>
          <w:b w:val="0"/>
          <w:iCs w:val="0"/>
          <w:szCs w:val="24"/>
        </w:rPr>
        <w:t xml:space="preserve">čl. </w:t>
      </w:r>
      <w:r w:rsidR="00CA5A06">
        <w:rPr>
          <w:rFonts w:cs="Times New Roman"/>
          <w:b w:val="0"/>
          <w:iCs w:val="0"/>
          <w:szCs w:val="24"/>
        </w:rPr>
        <w:t>10.10</w:t>
      </w:r>
      <w:r>
        <w:rPr>
          <w:rFonts w:cs="Times New Roman"/>
          <w:b w:val="0"/>
          <w:iCs w:val="0"/>
          <w:szCs w:val="24"/>
        </w:rPr>
        <w:t xml:space="preserve"> smlouvy</w:t>
      </w:r>
      <w:r w:rsidRPr="006C1FD6">
        <w:rPr>
          <w:rFonts w:cs="Times New Roman"/>
          <w:b w:val="0"/>
          <w:iCs w:val="0"/>
          <w:szCs w:val="24"/>
        </w:rPr>
        <w:t xml:space="preserve"> písemný návrh na z</w:t>
      </w:r>
      <w:r>
        <w:rPr>
          <w:rFonts w:cs="Times New Roman"/>
          <w:b w:val="0"/>
          <w:iCs w:val="0"/>
          <w:szCs w:val="24"/>
        </w:rPr>
        <w:t xml:space="preserve">měnu </w:t>
      </w:r>
      <w:r w:rsidR="008D55C0">
        <w:rPr>
          <w:rFonts w:cs="Times New Roman"/>
          <w:b w:val="0"/>
          <w:iCs w:val="0"/>
          <w:szCs w:val="24"/>
        </w:rPr>
        <w:t>díla</w:t>
      </w:r>
      <w:r w:rsidR="00A338AA">
        <w:rPr>
          <w:rFonts w:cs="Times New Roman"/>
          <w:b w:val="0"/>
          <w:iCs w:val="0"/>
          <w:szCs w:val="24"/>
        </w:rPr>
        <w:t xml:space="preserve"> </w:t>
      </w:r>
      <w:r w:rsidRPr="006C1FD6">
        <w:rPr>
          <w:rFonts w:cs="Times New Roman"/>
          <w:b w:val="0"/>
          <w:iCs w:val="0"/>
          <w:szCs w:val="24"/>
        </w:rPr>
        <w:t>(dále jen „</w:t>
      </w:r>
      <w:r w:rsidRPr="008D55C0">
        <w:rPr>
          <w:rFonts w:cs="Times New Roman"/>
          <w:iCs w:val="0"/>
          <w:szCs w:val="24"/>
        </w:rPr>
        <w:t>Návrh na zlepšení</w:t>
      </w:r>
      <w:r w:rsidRPr="006C1FD6">
        <w:rPr>
          <w:rFonts w:cs="Times New Roman"/>
          <w:b w:val="0"/>
          <w:iCs w:val="0"/>
          <w:szCs w:val="24"/>
        </w:rPr>
        <w:t xml:space="preserve">“) a </w:t>
      </w:r>
      <w:r w:rsidR="009B2E51">
        <w:rPr>
          <w:rFonts w:cs="Times New Roman"/>
          <w:b w:val="0"/>
          <w:iCs w:val="0"/>
          <w:szCs w:val="24"/>
        </w:rPr>
        <w:t>TDI</w:t>
      </w:r>
      <w:r w:rsidRPr="006C1FD6">
        <w:rPr>
          <w:rFonts w:cs="Times New Roman"/>
          <w:b w:val="0"/>
          <w:iCs w:val="0"/>
          <w:szCs w:val="24"/>
        </w:rPr>
        <w:t xml:space="preserve"> s navrhovaným řešením souhlasí, předloží jej bez zbytečného odkladu ke konečnému potvrzení </w:t>
      </w:r>
      <w:r w:rsidR="00EF6B03">
        <w:rPr>
          <w:rFonts w:cs="Times New Roman"/>
          <w:b w:val="0"/>
          <w:iCs w:val="0"/>
          <w:szCs w:val="24"/>
        </w:rPr>
        <w:t>o</w:t>
      </w:r>
      <w:r w:rsidRPr="006C1FD6">
        <w:rPr>
          <w:rFonts w:cs="Times New Roman"/>
          <w:b w:val="0"/>
          <w:iCs w:val="0"/>
          <w:szCs w:val="24"/>
        </w:rPr>
        <w:t xml:space="preserve">bjednateli. </w:t>
      </w:r>
      <w:r w:rsidR="009B2E51">
        <w:rPr>
          <w:rFonts w:cs="Times New Roman"/>
          <w:b w:val="0"/>
          <w:iCs w:val="0"/>
          <w:szCs w:val="24"/>
        </w:rPr>
        <w:t>TDI je rovněž oprávněn navrhnout zhotoviteli změny a úpravy Návrhu na zlepšení, přičemž zhotovitel je povinen tyto dle objektivních možností v Návrhu na zlepšení zohlednit.</w:t>
      </w:r>
    </w:p>
    <w:p w14:paraId="6CBEAF4A" w14:textId="77777777" w:rsidR="009B2E51" w:rsidRPr="009B2E51" w:rsidRDefault="009B2E51" w:rsidP="009B2E51"/>
    <w:p w14:paraId="6CBEAF4B" w14:textId="0930B94E" w:rsidR="006C1FD6" w:rsidRDefault="006C1FD6" w:rsidP="009B2E51">
      <w:pPr>
        <w:pStyle w:val="Nadpis3"/>
        <w:keepNext w:val="0"/>
        <w:numPr>
          <w:ilvl w:val="0"/>
          <w:numId w:val="18"/>
        </w:numPr>
        <w:spacing w:before="0" w:after="0"/>
        <w:ind w:left="360"/>
        <w:rPr>
          <w:rFonts w:cs="Times New Roman"/>
          <w:b w:val="0"/>
          <w:iCs w:val="0"/>
          <w:szCs w:val="24"/>
        </w:rPr>
      </w:pPr>
      <w:r w:rsidRPr="006C1FD6">
        <w:rPr>
          <w:rFonts w:cs="Times New Roman"/>
          <w:b w:val="0"/>
          <w:iCs w:val="0"/>
          <w:szCs w:val="24"/>
        </w:rPr>
        <w:t xml:space="preserve">Objednatel Návrh na zlepšení odsouhlasený </w:t>
      </w:r>
      <w:r w:rsidR="009B2E51">
        <w:rPr>
          <w:rFonts w:cs="Times New Roman"/>
          <w:b w:val="0"/>
          <w:iCs w:val="0"/>
          <w:szCs w:val="24"/>
        </w:rPr>
        <w:t xml:space="preserve">TDI </w:t>
      </w:r>
      <w:r w:rsidRPr="006C1FD6">
        <w:rPr>
          <w:rFonts w:cs="Times New Roman"/>
          <w:b w:val="0"/>
          <w:iCs w:val="0"/>
          <w:szCs w:val="24"/>
        </w:rPr>
        <w:t xml:space="preserve">předloží k odsouhlasení </w:t>
      </w:r>
      <w:r w:rsidR="00154686" w:rsidRPr="00154686">
        <w:rPr>
          <w:rFonts w:cs="Times New Roman"/>
          <w:b w:val="0"/>
          <w:iCs w:val="0"/>
          <w:szCs w:val="24"/>
        </w:rPr>
        <w:t xml:space="preserve">MŽP </w:t>
      </w:r>
      <w:r w:rsidR="001D4EC9" w:rsidRPr="001D4EC9">
        <w:rPr>
          <w:rFonts w:cs="Times New Roman"/>
          <w:b w:val="0"/>
          <w:iCs w:val="0"/>
          <w:szCs w:val="24"/>
        </w:rPr>
        <w:t>a/nebo Státní</w:t>
      </w:r>
      <w:r w:rsidR="001D4EC9">
        <w:rPr>
          <w:rFonts w:cs="Times New Roman"/>
          <w:b w:val="0"/>
          <w:iCs w:val="0"/>
          <w:szCs w:val="24"/>
        </w:rPr>
        <w:t>mu</w:t>
      </w:r>
      <w:r w:rsidR="001D4EC9" w:rsidRPr="001D4EC9">
        <w:rPr>
          <w:rFonts w:cs="Times New Roman"/>
          <w:b w:val="0"/>
          <w:iCs w:val="0"/>
          <w:szCs w:val="24"/>
        </w:rPr>
        <w:t xml:space="preserve"> fondu životního prostředí České republiky</w:t>
      </w:r>
      <w:r w:rsidRPr="006C1FD6">
        <w:rPr>
          <w:rFonts w:cs="Times New Roman"/>
          <w:b w:val="0"/>
          <w:iCs w:val="0"/>
          <w:szCs w:val="24"/>
        </w:rPr>
        <w:t>, vyplývá-li pro něj taková povinnost z pravidel a podmínek poskytnutí dotace.</w:t>
      </w:r>
    </w:p>
    <w:p w14:paraId="6CBEAF4C" w14:textId="77777777" w:rsidR="009B2E51" w:rsidRPr="009B2E51" w:rsidRDefault="009B2E51" w:rsidP="009B2E51"/>
    <w:p w14:paraId="6CBEAF4D" w14:textId="49B13D8B" w:rsidR="006C1FD6" w:rsidRPr="006C1FD6" w:rsidRDefault="006C1FD6" w:rsidP="006C1FD6">
      <w:pPr>
        <w:pStyle w:val="Nadpis3"/>
        <w:keepNext w:val="0"/>
        <w:numPr>
          <w:ilvl w:val="0"/>
          <w:numId w:val="18"/>
        </w:numPr>
        <w:spacing w:before="0" w:after="0"/>
        <w:ind w:left="360"/>
        <w:rPr>
          <w:rFonts w:cs="Times New Roman"/>
          <w:b w:val="0"/>
          <w:iCs w:val="0"/>
          <w:szCs w:val="24"/>
        </w:rPr>
      </w:pPr>
      <w:r w:rsidRPr="006C1FD6">
        <w:rPr>
          <w:rFonts w:cs="Times New Roman"/>
          <w:b w:val="0"/>
          <w:iCs w:val="0"/>
          <w:szCs w:val="24"/>
        </w:rPr>
        <w:t xml:space="preserve">V případě, že </w:t>
      </w:r>
      <w:r w:rsidR="00154686" w:rsidRPr="00154686">
        <w:rPr>
          <w:b w:val="0"/>
          <w:bCs/>
        </w:rPr>
        <w:t>M</w:t>
      </w:r>
      <w:r w:rsidR="00154686" w:rsidRPr="00154686">
        <w:rPr>
          <w:b w:val="0"/>
          <w:bCs/>
          <w:iCs w:val="0"/>
        </w:rPr>
        <w:t>ŽP</w:t>
      </w:r>
      <w:r w:rsidR="001D4EC9">
        <w:rPr>
          <w:rFonts w:cs="Times New Roman"/>
          <w:b w:val="0"/>
          <w:iCs w:val="0"/>
          <w:szCs w:val="24"/>
        </w:rPr>
        <w:t xml:space="preserve"> </w:t>
      </w:r>
      <w:r w:rsidR="001D4EC9" w:rsidRPr="001D4EC9">
        <w:rPr>
          <w:b w:val="0"/>
          <w:bCs/>
        </w:rPr>
        <w:t>a/nebo Státní fond životního prostředí České republiky</w:t>
      </w:r>
      <w:r w:rsidRPr="006C1FD6">
        <w:rPr>
          <w:rFonts w:cs="Times New Roman"/>
          <w:b w:val="0"/>
          <w:iCs w:val="0"/>
          <w:szCs w:val="24"/>
        </w:rPr>
        <w:t xml:space="preserve"> souhlas s Návrhem na zlepšení neudělí, navrhovací řízení končí bez dalšího.</w:t>
      </w:r>
    </w:p>
    <w:p w14:paraId="6CBEAF4E" w14:textId="77777777" w:rsidR="006C1FD6" w:rsidRPr="005912D0" w:rsidRDefault="006C1FD6" w:rsidP="006C1FD6"/>
    <w:p w14:paraId="6CBEAF4F" w14:textId="7BCC92E2" w:rsidR="006C1FD6" w:rsidRPr="006C1FD6" w:rsidRDefault="006C1FD6" w:rsidP="006C1FD6">
      <w:pPr>
        <w:pStyle w:val="Nadpis3"/>
        <w:keepNext w:val="0"/>
        <w:numPr>
          <w:ilvl w:val="0"/>
          <w:numId w:val="18"/>
        </w:numPr>
        <w:spacing w:before="0" w:after="0"/>
        <w:ind w:left="360"/>
        <w:rPr>
          <w:rFonts w:cs="Times New Roman"/>
          <w:b w:val="0"/>
          <w:iCs w:val="0"/>
          <w:szCs w:val="24"/>
        </w:rPr>
      </w:pPr>
      <w:r w:rsidRPr="006C1FD6">
        <w:rPr>
          <w:rFonts w:cs="Times New Roman"/>
          <w:b w:val="0"/>
          <w:iCs w:val="0"/>
          <w:szCs w:val="24"/>
        </w:rPr>
        <w:t xml:space="preserve"> V případě obdržení souhlasu ze strany </w:t>
      </w:r>
      <w:r w:rsidR="00154686" w:rsidRPr="00154686">
        <w:rPr>
          <w:b w:val="0"/>
          <w:bCs/>
        </w:rPr>
        <w:t>M</w:t>
      </w:r>
      <w:r w:rsidR="00154686" w:rsidRPr="00154686">
        <w:rPr>
          <w:b w:val="0"/>
          <w:bCs/>
          <w:iCs w:val="0"/>
        </w:rPr>
        <w:t>ŽP</w:t>
      </w:r>
      <w:r w:rsidR="00154686" w:rsidRPr="001D4EC9">
        <w:rPr>
          <w:b w:val="0"/>
          <w:bCs/>
        </w:rPr>
        <w:t xml:space="preserve"> </w:t>
      </w:r>
      <w:r w:rsidR="001D4EC9" w:rsidRPr="001D4EC9">
        <w:rPr>
          <w:b w:val="0"/>
          <w:bCs/>
        </w:rPr>
        <w:t>a/nebo Státního fondu životního prostředí České republiky</w:t>
      </w:r>
      <w:r w:rsidR="001D4EC9" w:rsidRPr="006C1FD6">
        <w:rPr>
          <w:rFonts w:cs="Times New Roman"/>
          <w:b w:val="0"/>
          <w:iCs w:val="0"/>
          <w:szCs w:val="24"/>
        </w:rPr>
        <w:t xml:space="preserve"> </w:t>
      </w:r>
      <w:r w:rsidRPr="006C1FD6">
        <w:rPr>
          <w:rFonts w:cs="Times New Roman"/>
          <w:b w:val="0"/>
          <w:iCs w:val="0"/>
          <w:szCs w:val="24"/>
        </w:rPr>
        <w:t xml:space="preserve">či v případě, že takového souhlasu není zapotřebí, </w:t>
      </w:r>
      <w:r w:rsidR="009B2E51">
        <w:rPr>
          <w:rFonts w:cs="Times New Roman"/>
          <w:b w:val="0"/>
          <w:iCs w:val="0"/>
          <w:szCs w:val="24"/>
        </w:rPr>
        <w:t>o</w:t>
      </w:r>
      <w:r w:rsidRPr="006C1FD6">
        <w:rPr>
          <w:rFonts w:cs="Times New Roman"/>
          <w:b w:val="0"/>
          <w:iCs w:val="0"/>
          <w:szCs w:val="24"/>
        </w:rPr>
        <w:t xml:space="preserve">bjednatel Návrh na zlepšení buď: </w:t>
      </w:r>
    </w:p>
    <w:p w14:paraId="6CBEAF50" w14:textId="77777777" w:rsidR="006C1FD6" w:rsidRPr="005912D0" w:rsidRDefault="006C1FD6" w:rsidP="006C1FD6">
      <w:pPr>
        <w:pStyle w:val="Odrazka1"/>
        <w:numPr>
          <w:ilvl w:val="0"/>
          <w:numId w:val="17"/>
        </w:numPr>
        <w:tabs>
          <w:tab w:val="num" w:pos="851"/>
          <w:tab w:val="left" w:pos="1418"/>
        </w:tabs>
        <w:rPr>
          <w:rFonts w:asciiTheme="minorHAnsi" w:hAnsiTheme="minorHAnsi"/>
          <w:szCs w:val="22"/>
        </w:rPr>
      </w:pPr>
      <w:r w:rsidRPr="005912D0">
        <w:rPr>
          <w:rFonts w:asciiTheme="minorHAnsi" w:hAnsiTheme="minorHAnsi"/>
          <w:szCs w:val="22"/>
        </w:rPr>
        <w:t xml:space="preserve">zamítne, čímž navrhovací řízení končí a Návrh na zlepšení nebude realizován, přičemž takové zamítnutí záleží zcela na posouzení </w:t>
      </w:r>
      <w:r w:rsidR="009B2E51">
        <w:rPr>
          <w:rFonts w:asciiTheme="minorHAnsi" w:hAnsiTheme="minorHAnsi"/>
          <w:szCs w:val="22"/>
        </w:rPr>
        <w:t>o</w:t>
      </w:r>
      <w:r w:rsidRPr="005912D0">
        <w:rPr>
          <w:rFonts w:asciiTheme="minorHAnsi" w:hAnsiTheme="minorHAnsi"/>
          <w:szCs w:val="22"/>
        </w:rPr>
        <w:t>bjednatele;</w:t>
      </w:r>
    </w:p>
    <w:p w14:paraId="6CBEAF53" w14:textId="66A0AA46" w:rsidR="006C1FD6" w:rsidRDefault="009B2E51" w:rsidP="00E54CDD">
      <w:pPr>
        <w:numPr>
          <w:ilvl w:val="0"/>
          <w:numId w:val="17"/>
        </w:numPr>
      </w:pPr>
      <w:r w:rsidRPr="00667361">
        <w:t>schválí svým podpisem na formuláři</w:t>
      </w:r>
      <w:r>
        <w:t xml:space="preserve"> Návrhu na zlepšení </w:t>
      </w:r>
      <w:r w:rsidRPr="00667361">
        <w:t xml:space="preserve">a na jeho základě </w:t>
      </w:r>
      <w:r>
        <w:t>TDI</w:t>
      </w:r>
      <w:r w:rsidRPr="00667361">
        <w:t xml:space="preserve"> vydá </w:t>
      </w:r>
      <w:r>
        <w:t>z</w:t>
      </w:r>
      <w:r w:rsidRPr="00667361">
        <w:t xml:space="preserve">hotoviteli pokyn k provedení </w:t>
      </w:r>
      <w:r>
        <w:t>změny díla</w:t>
      </w:r>
      <w:r w:rsidRPr="00667361">
        <w:t xml:space="preserve">, čímž se </w:t>
      </w:r>
      <w:r>
        <w:t>změna díla</w:t>
      </w:r>
      <w:r w:rsidRPr="00667361">
        <w:t xml:space="preserve"> stane pro </w:t>
      </w:r>
      <w:r>
        <w:t>s</w:t>
      </w:r>
      <w:r w:rsidRPr="00667361">
        <w:t xml:space="preserve">mluvní strany závaznou a </w:t>
      </w:r>
      <w:r>
        <w:t>z</w:t>
      </w:r>
      <w:r w:rsidRPr="00667361">
        <w:t xml:space="preserve">hotovitel ji bude povinen realizovat jako součást </w:t>
      </w:r>
      <w:r>
        <w:t>d</w:t>
      </w:r>
      <w:r w:rsidRPr="00667361">
        <w:t>íla.</w:t>
      </w:r>
      <w:r>
        <w:t xml:space="preserve"> Na základě tohoto Návrhu na zlepšení bude zároveň mezi smluvními stranami uzavřen dodatek ke smlouvě.</w:t>
      </w:r>
    </w:p>
    <w:p w14:paraId="6CBEAF54" w14:textId="77777777" w:rsidR="00A019CD" w:rsidRPr="00E646B4" w:rsidRDefault="00A019CD" w:rsidP="007A1C5F"/>
    <w:sectPr w:rsidR="00A019CD" w:rsidRPr="00E646B4" w:rsidSect="00104434">
      <w:footerReference w:type="even" r:id="rId10"/>
      <w:footerReference w:type="default" r:id="rId11"/>
      <w:headerReference w:type="first" r:id="rId12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CEB9A" w14:textId="77777777" w:rsidR="00B10E06" w:rsidRDefault="00B10E06">
      <w:r>
        <w:separator/>
      </w:r>
    </w:p>
  </w:endnote>
  <w:endnote w:type="continuationSeparator" w:id="0">
    <w:p w14:paraId="32B1485A" w14:textId="77777777" w:rsidR="00B10E06" w:rsidRDefault="00B1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AF59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CBEAF5A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AF5B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60DC6">
      <w:rPr>
        <w:noProof/>
      </w:rPr>
      <w:t>2</w:t>
    </w:r>
    <w:r>
      <w:rPr>
        <w:noProof/>
      </w:rPr>
      <w:fldChar w:fldCharType="end"/>
    </w:r>
  </w:p>
  <w:p w14:paraId="6CBEAF5C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E033B" w14:textId="77777777" w:rsidR="00B10E06" w:rsidRDefault="00B10E06">
      <w:r>
        <w:separator/>
      </w:r>
    </w:p>
  </w:footnote>
  <w:footnote w:type="continuationSeparator" w:id="0">
    <w:p w14:paraId="79BF3A59" w14:textId="77777777" w:rsidR="00B10E06" w:rsidRDefault="00B10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AF5D" w14:textId="77777777" w:rsidR="00EF6B03" w:rsidRPr="00EF6B03" w:rsidRDefault="00EF6B03">
    <w:pPr>
      <w:pStyle w:val="Zhlav"/>
      <w:rPr>
        <w:i/>
      </w:rPr>
    </w:pPr>
    <w:r w:rsidRPr="00EF6B03">
      <w:rPr>
        <w:i/>
      </w:rPr>
      <w:t>Příloha č. 4 – Postup při provádění změn díla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B056527"/>
    <w:multiLevelType w:val="hybridMultilevel"/>
    <w:tmpl w:val="A7F62D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6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444A0A5E"/>
    <w:multiLevelType w:val="hybridMultilevel"/>
    <w:tmpl w:val="05527D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715BED"/>
    <w:multiLevelType w:val="hybridMultilevel"/>
    <w:tmpl w:val="A7F62D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 w15:restartNumberingAfterBreak="0">
    <w:nsid w:val="5AD1560D"/>
    <w:multiLevelType w:val="hybridMultilevel"/>
    <w:tmpl w:val="05527D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479415188">
    <w:abstractNumId w:val="0"/>
  </w:num>
  <w:num w:numId="2" w16cid:durableId="1394427011">
    <w:abstractNumId w:val="3"/>
  </w:num>
  <w:num w:numId="3" w16cid:durableId="1534030060">
    <w:abstractNumId w:val="2"/>
  </w:num>
  <w:num w:numId="4" w16cid:durableId="806358979">
    <w:abstractNumId w:val="7"/>
  </w:num>
  <w:num w:numId="5" w16cid:durableId="1229615219">
    <w:abstractNumId w:val="11"/>
  </w:num>
  <w:num w:numId="6" w16cid:durableId="2071996613">
    <w:abstractNumId w:val="4"/>
  </w:num>
  <w:num w:numId="7" w16cid:durableId="91172259">
    <w:abstractNumId w:val="12"/>
  </w:num>
  <w:num w:numId="8" w16cid:durableId="1725252008">
    <w:abstractNumId w:val="8"/>
  </w:num>
  <w:num w:numId="9" w16cid:durableId="660278999">
    <w:abstractNumId w:val="6"/>
  </w:num>
  <w:num w:numId="10" w16cid:durableId="132603147">
    <w:abstractNumId w:val="5"/>
  </w:num>
  <w:num w:numId="11" w16cid:durableId="185339212">
    <w:abstractNumId w:val="14"/>
  </w:num>
  <w:num w:numId="12" w16cid:durableId="1235698768">
    <w:abstractNumId w:val="16"/>
  </w:num>
  <w:num w:numId="13" w16cid:durableId="84618063">
    <w:abstractNumId w:val="17"/>
  </w:num>
  <w:num w:numId="14" w16cid:durableId="900940679">
    <w:abstractNumId w:val="9"/>
  </w:num>
  <w:num w:numId="15" w16cid:durableId="381563070">
    <w:abstractNumId w:val="13"/>
  </w:num>
  <w:num w:numId="16" w16cid:durableId="1284269734">
    <w:abstractNumId w:val="15"/>
  </w:num>
  <w:num w:numId="17" w16cid:durableId="338194236">
    <w:abstractNumId w:val="10"/>
  </w:num>
  <w:num w:numId="18" w16cid:durableId="1292587987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361"/>
    <w:rsid w:val="000000C0"/>
    <w:rsid w:val="00001C5F"/>
    <w:rsid w:val="00005658"/>
    <w:rsid w:val="00011D73"/>
    <w:rsid w:val="000378CD"/>
    <w:rsid w:val="000403EA"/>
    <w:rsid w:val="000616F8"/>
    <w:rsid w:val="0007415F"/>
    <w:rsid w:val="00085432"/>
    <w:rsid w:val="00095594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4686"/>
    <w:rsid w:val="00155F91"/>
    <w:rsid w:val="001568BE"/>
    <w:rsid w:val="00157F58"/>
    <w:rsid w:val="001639E0"/>
    <w:rsid w:val="00170D32"/>
    <w:rsid w:val="001825F0"/>
    <w:rsid w:val="0018319F"/>
    <w:rsid w:val="001973BE"/>
    <w:rsid w:val="001D44B9"/>
    <w:rsid w:val="001D4EC9"/>
    <w:rsid w:val="001D5A62"/>
    <w:rsid w:val="001D6419"/>
    <w:rsid w:val="001E1BC6"/>
    <w:rsid w:val="001E2636"/>
    <w:rsid w:val="001E6612"/>
    <w:rsid w:val="00204F3B"/>
    <w:rsid w:val="00205037"/>
    <w:rsid w:val="00215493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A79CB"/>
    <w:rsid w:val="002B5376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3AB3"/>
    <w:rsid w:val="003B1986"/>
    <w:rsid w:val="003C709D"/>
    <w:rsid w:val="003D73ED"/>
    <w:rsid w:val="003E44B8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35A6D"/>
    <w:rsid w:val="00441A1D"/>
    <w:rsid w:val="0044445E"/>
    <w:rsid w:val="004457FB"/>
    <w:rsid w:val="00465937"/>
    <w:rsid w:val="00473DB2"/>
    <w:rsid w:val="004A55AD"/>
    <w:rsid w:val="004A6DE8"/>
    <w:rsid w:val="004B723E"/>
    <w:rsid w:val="004E7AC5"/>
    <w:rsid w:val="004F23AE"/>
    <w:rsid w:val="004F5F47"/>
    <w:rsid w:val="00503DD0"/>
    <w:rsid w:val="00515DE7"/>
    <w:rsid w:val="00523DC5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E4754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67361"/>
    <w:rsid w:val="006779C7"/>
    <w:rsid w:val="006959DF"/>
    <w:rsid w:val="006A1727"/>
    <w:rsid w:val="006A6962"/>
    <w:rsid w:val="006A7C4F"/>
    <w:rsid w:val="006B51D2"/>
    <w:rsid w:val="006C1FD6"/>
    <w:rsid w:val="006C527F"/>
    <w:rsid w:val="006D1758"/>
    <w:rsid w:val="006E0E84"/>
    <w:rsid w:val="006E4DB1"/>
    <w:rsid w:val="006F0A59"/>
    <w:rsid w:val="006F109D"/>
    <w:rsid w:val="00710579"/>
    <w:rsid w:val="00712D40"/>
    <w:rsid w:val="00732D27"/>
    <w:rsid w:val="00732E32"/>
    <w:rsid w:val="00734BAB"/>
    <w:rsid w:val="00736372"/>
    <w:rsid w:val="00763846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A3076"/>
    <w:rsid w:val="008B0BCE"/>
    <w:rsid w:val="008B1A1B"/>
    <w:rsid w:val="008C55B1"/>
    <w:rsid w:val="008D55C0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B2E51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38AA"/>
    <w:rsid w:val="00A369E7"/>
    <w:rsid w:val="00A3737C"/>
    <w:rsid w:val="00A41429"/>
    <w:rsid w:val="00A51F93"/>
    <w:rsid w:val="00A60DC6"/>
    <w:rsid w:val="00A66E6A"/>
    <w:rsid w:val="00A75FD7"/>
    <w:rsid w:val="00AC11E5"/>
    <w:rsid w:val="00AD277F"/>
    <w:rsid w:val="00B10E06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2CFA"/>
    <w:rsid w:val="00BA3980"/>
    <w:rsid w:val="00BB1E04"/>
    <w:rsid w:val="00BB75E7"/>
    <w:rsid w:val="00BC030B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15DF5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2C8A"/>
    <w:rsid w:val="00CA31B7"/>
    <w:rsid w:val="00CA5A06"/>
    <w:rsid w:val="00CA5EB2"/>
    <w:rsid w:val="00CB5814"/>
    <w:rsid w:val="00CC163F"/>
    <w:rsid w:val="00CD1F9A"/>
    <w:rsid w:val="00CD295C"/>
    <w:rsid w:val="00CF12D0"/>
    <w:rsid w:val="00CF5AB3"/>
    <w:rsid w:val="00D0199E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386"/>
    <w:rsid w:val="00E8596E"/>
    <w:rsid w:val="00E9440D"/>
    <w:rsid w:val="00E97192"/>
    <w:rsid w:val="00ED320A"/>
    <w:rsid w:val="00ED6ACA"/>
    <w:rsid w:val="00EF6B03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BEAF30"/>
  <w15:docId w15:val="{70CC747D-512E-481D-801C-10B84B44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E8D29FF66F124B9B79C30CF2C37B19" ma:contentTypeVersion="13" ma:contentTypeDescription="Vytvoří nový dokument" ma:contentTypeScope="" ma:versionID="57d31adaef8e880fe4d9af0b6a6d02b3">
  <xsd:schema xmlns:xsd="http://www.w3.org/2001/XMLSchema" xmlns:xs="http://www.w3.org/2001/XMLSchema" xmlns:p="http://schemas.microsoft.com/office/2006/metadata/properties" xmlns:ns2="e28aed45-550b-4b88-9d8d-c3ad342f1a01" xmlns:ns3="20d60d6e-8844-4db7-abf0-2e790447557a" targetNamespace="http://schemas.microsoft.com/office/2006/metadata/properties" ma:root="true" ma:fieldsID="75b2fef625c1aefb921c20c4b4d67290" ns2:_="" ns3:_="">
    <xsd:import namespace="e28aed45-550b-4b88-9d8d-c3ad342f1a01"/>
    <xsd:import namespace="20d60d6e-8844-4db7-abf0-2e7904475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ed45-550b-4b88-9d8d-c3ad342f1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7fc04647-e0c6-4551-aaf5-f811ab319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60d6e-8844-4db7-abf0-2e79044755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ba599f-54c4-4626-b4bd-eae2352f6145}" ma:internalName="TaxCatchAll" ma:showField="CatchAllData" ma:web="20d60d6e-8844-4db7-abf0-2e7904475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60d6e-8844-4db7-abf0-2e790447557a" xsi:nil="true"/>
    <lcf76f155ced4ddcb4097134ff3c332f xmlns="e28aed45-550b-4b88-9d8d-c3ad342f1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198F92-B33E-4FC8-B82D-222693BF6E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D33CF-410F-4E82-9D0B-9AAD6504A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aed45-550b-4b88-9d8d-c3ad342f1a01"/>
    <ds:schemaRef ds:uri="20d60d6e-8844-4db7-abf0-2e7904475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2D365D-FF9F-46D7-832D-EDE52FA5078F}">
  <ds:schemaRefs>
    <ds:schemaRef ds:uri="http://schemas.microsoft.com/office/2006/metadata/properties"/>
    <ds:schemaRef ds:uri="http://schemas.microsoft.com/office/infopath/2007/PartnerControls"/>
    <ds:schemaRef ds:uri="20d60d6e-8844-4db7-abf0-2e790447557a"/>
    <ds:schemaRef ds:uri="e28aed45-550b-4b88-9d8d-c3ad342f1a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775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>Hewlett-Packard Company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creator>Renata Brychtová</dc:creator>
  <cp:lastModifiedBy>Jan Dudák</cp:lastModifiedBy>
  <cp:revision>22</cp:revision>
  <cp:lastPrinted>2018-10-17T08:29:00Z</cp:lastPrinted>
  <dcterms:created xsi:type="dcterms:W3CDTF">2018-10-17T08:29:00Z</dcterms:created>
  <dcterms:modified xsi:type="dcterms:W3CDTF">2025-07-08T09:39:00Z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0x01010011E8D29FF66F124B9B79C30CF2C37B19</vt:lpwstr>
  </property>
  <property fmtid="{D5CDD505-2E9C-101B-9397-08002B2CF9AE}" pid="3" name="Order">
    <vt:r8>25416400</vt:r8>
  </property>
  <property fmtid="{D5CDD505-2E9C-101B-9397-08002B2CF9AE}" pid="4" name="MediaServiceImageTags">
    <vt:lpwstr/>
  </property>
</Properties>
</file>